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SchAusrV — Aufsicht über benannte Stellen und Audit</w:t>
      </w:r>
    </w:p>
    <w:p>
      <w:r>
        <w:rPr>
          <w:color w:val="555555"/>
          <w:sz w:val="18"/>
        </w:rPr>
        <w:t xml:space="preserve">Schiffsausrüstungsverordnung</w:t>
      </w:r>
    </w:p>
    <w:p>
      <w:r>
        <w:rPr>
          <w:color w:val="555555"/>
          <w:sz w:val="18"/>
        </w:rPr>
        <w:t xml:space="preserve">Historische Fassung: Stand 10.06.2019 bis 01.07.2026. Dies ist nicht die aktuelle Fassung.</w:t>
      </w:r>
    </w:p>
    <w:p>
      <w:r>
        <w:t xml:space="preserve">(1) Die zuständige Behörde überwacht die benannten Stellen; dabei prüft die zuständige Behörde oder eine von ihr beauftragte unabhängige externe Einrichtung mindestens alle zwei Jahre die Erfüllung der Anforderungen des § 3 Abs. 2 (Audit). Die benannte Stelle wirkt hieran mit. Die zuständige Behörde kann erforderliche Anordnungen treffen, diese mit Auflagen verbinden sowie diese überwachen, um die Erfüllung der Anforderungen des § 3 Abs. 3 Satz 1 sicherzustellen.</w:t>
      </w:r>
    </w:p>
    <w:p>
      <w:r>
        <w:t xml:space="preserve">(2) Die zuständige Behörde unterrichtet das Bundesministerium für Verkehr und digitale Infrastruktur, wenn ihr für Zwecke des Absatzes 1 der Zugang zu Einrichtungen der benannten Stellen oder der Einblick in die erforderlichen Unterlagen verwehrt wird oder die Kriterien des § 3 Abs. 3 Satz 1 nicht erfüllt sind.</w:t>
      </w:r>
    </w:p>
    <w:p>
      <w:r>
        <w:rPr>
          <w:color w:val="555555"/>
          <w:sz w:val="17"/>
        </w:rPr>
        <w:t xml:space="preserve">Zitiervorschlag: § 4 SchAusrV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https://recht.nulegal.eu/gesetze/schausrv--2008/4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