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SchAusrV — Anwendungsbereich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(1) Diese Verordnung gilt für Ausrüstung im Sinne des § 2 Nr. 2.</w:t>
      </w:r>
    </w:p>
    <w:p>
      <w:r>
        <w:t xml:space="preserve">(2) Besondere Bestimmungen, die Anforderungen an Ausrüstung aufstellen, insbesondere die Schiffssicherheitsverordnung, bleiben unberührt.</w:t>
      </w:r>
    </w:p>
    <w:p>
      <w:r>
        <w:t xml:space="preserve">(3) Diese Verordnung gilt nicht für Schiffe der Bundeswehr und ausländische Kriegsschiffe.</w:t>
      </w:r>
    </w:p>
    <w:p>
      <w:r>
        <w:rPr>
          <w:color w:val="555555"/>
          <w:sz w:val="17"/>
        </w:rPr>
        <w:t xml:space="preserve">Zitiervorschlag: § 1 SchAusrV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https://recht.nulegal.eu/gesetze/schausrv--2008/1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