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SÜFV — Geschäftsbereich des Bundesministeriums für Gesundheit</w:t>
      </w:r>
    </w:p>
    <w:p>
      <w:r>
        <w:rPr>
          <w:color w:val="555555"/>
          <w:sz w:val="18"/>
        </w:rPr>
        <w:t xml:space="preserve">Sicherheitsüberprüfungsfeststellungsverordnung</w:t>
      </w:r>
    </w:p>
    <w:p>
      <w:r>
        <w:rPr>
          <w:color w:val="555555"/>
          <w:sz w:val="18"/>
        </w:rPr>
        <w:t xml:space="preserve">Historische Fassung: Stand 25.01.2021 bis 09.02.2023. Dies ist nicht die aktuelle Fassung.</w:t>
      </w:r>
    </w:p>
    <w:p>
      <w:r>
        <w:t xml:space="preserve">Lebenswichtige Einrichtung ist im Geschäftsbereich des Bundesministeriums für Gesundheit das Institut mit der Aufgabe der Beobachtung des Auftretens und der Bekämpfung von Krankheiten und relevanten Gesundheitsgefahren in der Bevölkerung.</w:t>
      </w:r>
    </w:p>
    <w:p>
      <w:r>
        <w:rPr>
          <w:color w:val="555555"/>
          <w:sz w:val="17"/>
        </w:rPr>
        <w:t xml:space="preserve">Zitiervorschlag: § 8 SÜFV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https://recht.nulegal.eu/gesetze/s_fv--2003/8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