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SÜFV — Geschäftsbereich des Bundesministeriums des Innern, für Bau und Heimat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Historische Fassung: Stand 25.01.2021 bis 09.02.2023. Dies ist nicht die aktuelle Fassung.</w:t>
      </w:r>
    </w:p>
    <w:p>
      <w:r>
        <w:t xml:space="preserve">Lebenswichtige Einrichtungen sind im Geschäftsbereich des Bundesministeriums des Innern, für Bau und Heimat</w:t>
      </w:r>
    </w:p>
    <w:p>
      <w:pPr>
        <w:ind w:left="420"/>
      </w:pPr>
      <w:r>
        <w:t xml:space="preserve">1. das Bundesamt für Bevölkerungsschutz und Katastrophenhilfe und die Bundesanstalt Technisches Hilfswerk;</w:t>
      </w:r>
    </w:p>
    <w:p>
      <w:pPr>
        <w:ind w:left="420"/>
      </w:pPr>
      <w:r>
        <w:t xml:space="preserve">2. die Bundesanstalt für den Digitalfunk der Behörden und Organisationen mit Sicherheitsaufgaben.</w:t>
      </w:r>
    </w:p>
    <w:p>
      <w:r>
        <w:rPr>
          <w:color w:val="555555"/>
          <w:sz w:val="17"/>
        </w:rPr>
        <w:t xml:space="preserve">Zitiervorschlag: § 6a SÜFV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https://recht.nulegal.eu/gesetze/s_fv--2003/6a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