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SÜFV — Deutsche Bundesbank</w:t>
      </w:r>
    </w:p>
    <w:p>
      <w:r>
        <w:rPr>
          <w:color w:val="555555"/>
          <w:sz w:val="18"/>
        </w:rPr>
        <w:t xml:space="preserve">Sicherheitsüberprüfungsfeststellungsverordnung</w:t>
      </w:r>
    </w:p>
    <w:p>
      <w:r>
        <w:rPr>
          <w:color w:val="555555"/>
          <w:sz w:val="18"/>
        </w:rPr>
        <w:t xml:space="preserve">Historische Fassung: Stand 25.01.2021 bis 09.02.2023. Dies ist nicht die aktuelle Fassung.</w:t>
      </w:r>
    </w:p>
    <w:p>
      <w:r>
        <w:t xml:space="preserve">Lebenswichtige Einrichtungen sind die Arbeitseinheiten, die der Informationstechnik der Deutschen Bundesbank beim unbaren Großbetragszahlungsverkehr dienen, sowie die Einrichtungen der zentralen Bargeldversorgung.</w:t>
      </w:r>
    </w:p>
    <w:p>
      <w:r>
        <w:rPr>
          <w:color w:val="555555"/>
          <w:sz w:val="17"/>
        </w:rPr>
        <w:t xml:space="preserve">Zitiervorschlag: § 5 SÜFV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https://recht.nulegal.eu/gesetze/s_fv--2003/5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