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SÜFV — Bundesverfassungsgericht</w:t>
      </w:r>
    </w:p>
    <w:p>
      <w:r>
        <w:rPr>
          <w:color w:val="555555"/>
          <w:sz w:val="18"/>
        </w:rPr>
        <w:t xml:space="preserve">Sicherheitsüberprüfungsfeststellungsverordnung</w:t>
      </w:r>
    </w:p>
    <w:p>
      <w:r>
        <w:rPr>
          <w:color w:val="555555"/>
          <w:sz w:val="18"/>
        </w:rPr>
        <w:t xml:space="preserve">Historische Fassung: Stand 25.01.2021 bis 09.02.2023. Dies ist nicht die aktuelle Fassung.</w:t>
      </w:r>
    </w:p>
    <w:p>
      <w:r>
        <w:t xml:space="preserve">Lebenswichtige Einrichtungen sind die Arbeitseinheiten der Informationstechnik des Bundesverfassungsgerichts, deren Ausfall die Tätigkeit des Bundesverfassungsgerichts unmittelbar erheblich beeinträchtigen würde.</w:t>
      </w:r>
    </w:p>
    <w:p>
      <w:r>
        <w:rPr>
          <w:color w:val="555555"/>
          <w:sz w:val="17"/>
        </w:rPr>
        <w:t xml:space="preserve">Zitiervorschlag: § 4 SÜFV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https://recht.nulegal.eu/gesetze/s_fv--2003/4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