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SÜFV — Bundesrat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Historische Fassung: Stand 25.01.2021 bis 09.02.2023. Dies ist nicht die aktuelle Fassung.</w:t>
      </w:r>
    </w:p>
    <w:p>
      <w:r>
        <w:t xml:space="preserve">Lebenswichtige Einrichtungen sind die technischen Arbeitseinheiten des Bundesrates, deren Ausfall die Tätigkeit des Bundesrates unmittelbar erheblich beeinträchtigen würde.</w:t>
      </w:r>
    </w:p>
    <w:p>
      <w:r>
        <w:rPr>
          <w:color w:val="555555"/>
          <w:sz w:val="17"/>
        </w:rPr>
        <w:t xml:space="preserve">Zitiervorschlag: § 3 SÜFV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https://recht.nulegal.eu/gesetze/s_fv--2003/3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