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SÜFV — Aufgaben mit vergleichbarer Sicherheitsempfindlichkeit</w:t>
      </w:r>
    </w:p>
    <w:p>
      <w:r>
        <w:rPr>
          <w:color w:val="555555"/>
          <w:sz w:val="18"/>
        </w:rPr>
        <w:t xml:space="preserve">Sicherheitsüberprüfungsfeststellungsverordnung</w:t>
      </w:r>
    </w:p>
    <w:p>
      <w:r>
        <w:rPr>
          <w:color w:val="555555"/>
          <w:sz w:val="18"/>
        </w:rPr>
        <w:t xml:space="preserve">Historische Fassung: Stand 10.06.2019 bis 09.02.2023. Dies ist nicht die aktuelle Fassung.</w:t>
      </w:r>
    </w:p>
    <w:p>
      <w:r>
        <w:t xml:space="preserve">Folgende Behörden des Bundes nehmen Aufgaben von vergleichbarer Sicherheitsempfindlichkeit wie die der Nachrichtendienste des Bundes wahr:</w:t>
      </w:r>
    </w:p>
    <w:p>
      <w:pPr>
        <w:ind w:left="420"/>
      </w:pPr>
      <w:r>
        <w:t xml:space="preserve">1. die Bundespolizei, soweit sie Aufgaben gemäß § 10 des Bundespolizeigesetzes vom 19. Oktober 1994 (BGBl. I S. 2978, 2979) auf dem Gebiet der Funktechnik und funkbetrieblichen Auswertung für das Bundesamt für Verfassungsschutz wahrnimmt,</w:t>
      </w:r>
    </w:p>
    <w:p>
      <w:pPr>
        <w:ind w:left="420"/>
      </w:pPr>
      <w:r>
        <w:t xml:space="preserve">2. das Bundeskriminalamt, soweit es seine polizeiliche Aufgabe auf den Gebieten der Spionageabwehr und der Terrorismusbekämpfung sowie der Strafverfolgung solcher Erscheinungsformen der organisierten Kriminalität wahrnimmt, bei deren Aufklärung eine dauerhafte Zusammenarbeit mit den Nachrichtendiensten des Bundes erfolgt,</w:t>
      </w:r>
    </w:p>
    <w:p>
      <w:pPr>
        <w:ind w:left="420"/>
      </w:pPr>
      <w:r>
        <w:t xml:space="preserve">3. die Bundeswehr, soweit sie Aufgaben der Fernmelde- und elektronischen Aufklärung wahrnimmt und dabei eine dauerhafte Zusammenarbeit mit den Nachrichtendiensten des Bundes erfolgt,</w:t>
      </w:r>
    </w:p>
    <w:p>
      <w:pPr>
        <w:ind w:left="420"/>
      </w:pPr>
      <w:r>
        <w:t xml:space="preserve">4. das Zollkriminalamt, soweit es bei seiner Aufgabe der Verhütung und Verfolgung von Zuwiderhandlungen gegen Bestimmungen des Außenwirtschaftsgesetzes und Kriegswaffenkontrollgesetzes sowie der Strafverfolgung solcher Erscheinungsformen der organisierten Kriminalität tätig wird, bei deren Aufklärung eine dauerhafte Zusammenarbeit mit den Nachrichtendiensten des Bundes erfolgt,</w:t>
      </w:r>
    </w:p>
    <w:p>
      <w:pPr>
        <w:ind w:left="420"/>
      </w:pPr>
      <w:r>
        <w:t xml:space="preserve">5. der Generalbundesanwalt, soweit er bei Ermittlungstätigkeiten auf dem Gebiet der Spionageabwehr und der Terrorismusbekämpfung übermittelte Informationen der Nachrichtendienste des Bundes verwendet,</w:t>
      </w:r>
    </w:p>
    <w:p>
      <w:pPr>
        <w:ind w:left="420"/>
      </w:pPr>
      <w:r>
        <w:t xml:space="preserve">6. die Zentralstelle für Finanztransaktionsuntersuchungen, soweit sie bei ihrer Aufgabe der Verhinderung, Aufdeckung und Unterstützung bei der Bekämpfung von Geldwäsche und Terrorismusfinanzierung Erscheinungsformen der organisierten Kriminalität oder des Terrorismus wahrnimmt und eine dauerhafte Zusammenarbeit mit den Nachrichtendiensten des Bundes erfolgt.</w:t>
      </w:r>
    </w:p>
    <w:p>
      <w:r>
        <w:rPr>
          <w:color w:val="555555"/>
          <w:sz w:val="17"/>
        </w:rPr>
        <w:t xml:space="preserve">Zitiervorschlag: § 1 SÜFV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https://recht.nulegal.eu/gesetze/s_fv--2003/1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