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RVBund/KnErG — Eingliederung der Bahnversicherungsanstalt und der Seekasse</w:t>
      </w:r>
    </w:p>
    <w:p>
      <w:r>
        <w:rPr>
          <w:color w:val="555555"/>
          <w:sz w:val="18"/>
        </w:rPr>
        <w:t xml:space="preserve">Gesetz zur Errichtung der Deutschen Rentenversicherung Bund und der Deutschen Rentenversicherung Knappschaft-Bahn-See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Bahnversicherungsanstalt und die Seekasse werden aufgelöst und gehen in der Deutschen Rentenversicherung Knappschaft-Bahn-See auf.</w:t>
      </w:r>
    </w:p>
    <w:p>
      <w:r>
        <w:t xml:space="preserve">(2) Das Vermögen sowie Rechte und Pflichten der Bahnversicherungsanstalt und der Seekasse gehen als Ganzes auf die Deutsche Rentenversicherung Knappschaft-Bahn-See über.</w:t>
      </w:r>
    </w:p>
    <w:p>
      <w:r>
        <w:rPr>
          <w:color w:val="555555"/>
          <w:sz w:val="17"/>
        </w:rPr>
        <w:t xml:space="preserve">Zitiervorschlag: § 5 RVBund/KnErG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https://recht.nulegal.eu/gesetze/rvbund_knerg/5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