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RennwLottG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(1) Die Steuer für ausländische Lose und Ausweise über Spieleinlagen beträgt 0,25 Euro für je einen Euro vom planmäßigen Preise; ein angefangener Euro wird für voll gerechnet.</w:t>
      </w:r>
    </w:p>
    <w:p>
      <w:r>
        <w:t xml:space="preserve">(2) Ausländische Werte sind nach den Vorschriften über die Berechnung der Umsatzsteuer in Euro umzurechnen.</w:t>
      </w:r>
    </w:p>
    <w:p>
      <w:r>
        <w:t xml:space="preserve">(3) Die Steuerschuld entsteht, sobald die Lose oder Ausweise in das Inland eingebracht werden; Steuerschuldner ist, wer Lose oder Ausweise in das Inland verbringt oder als Erster im Inland empfängt.</w:t>
      </w:r>
    </w:p>
    <w:p>
      <w:r>
        <w:t xml:space="preserve">(4) Die Steuer ist, bevor mit dem Vertrieb begonnen wird, spätestens binnen drei Tagen nach dem Tage des Einbringens oder des Empfanges zu entrichten.</w:t>
      </w:r>
    </w:p>
    <w:p>
      <w:r>
        <w:rPr>
          <w:color w:val="555555"/>
          <w:sz w:val="17"/>
        </w:rPr>
        <w:t xml:space="preserve">Zitiervorschlag: § 21 RennwLottG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https://recht.nulegal.eu/gesetze/rennwlottg--1922/21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