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ReifKennzV — Ordnungswidrigkeiten</w:t>
      </w:r>
    </w:p>
    <w:p>
      <w:r>
        <w:rPr>
          <w:color w:val="555555"/>
          <w:sz w:val="18"/>
        </w:rPr>
        <w:t xml:space="preserve">Reifenkennzeichnungsverordnung</w:t>
      </w:r>
    </w:p>
    <w:p>
      <w:r>
        <w:rPr>
          <w:color w:val="555555"/>
          <w:sz w:val="18"/>
        </w:rPr>
        <w:t xml:space="preserve">Historische Fassung: Stand 10.06.2019 bis 13.07.2021. Dies ist nicht die aktuelle Fassung.</w:t>
      </w:r>
    </w:p>
    <w:p>
      <w:r>
        <w:t xml:space="preserve">Ordnungswidrig im Sinne des § 15 Absatz 1 Nummer 1 des Energieverbrauchskennzeichnungsgesetzes handelt, wer vorsätzlich oder fahrlässig</w:t>
      </w:r>
    </w:p>
    <w:p>
      <w:pPr>
        <w:ind w:left="420"/>
      </w:pPr>
      <w:r>
        <w:t xml:space="preserve">1. entgegen § 3 Absatz 1 oder 2 nicht sicherstellt, dass ein dort genannter Aufkleber angebracht ist oder eine dort genannte Kennzeichnung beigefügt wird oder Inhalt oder Format den dort genannten Vorgaben entsprechen,</w:t>
      </w:r>
    </w:p>
    <w:p>
      <w:pPr>
        <w:ind w:left="420"/>
      </w:pPr>
      <w:r>
        <w:t xml:space="preserve">2. entgegen § 3 Absatz 3 eine dort genannte Angabe nicht, nicht richtig oder nicht vollständig bereitstellt,</w:t>
      </w:r>
    </w:p>
    <w:p>
      <w:pPr>
        <w:ind w:left="420"/>
      </w:pPr>
      <w:r>
        <w:t xml:space="preserve">3. entgegen § 3 Absatz 4 Satz 1, § 4 Absatz 2 oder 3 oder § 5 eine technische Dokumentation oder eine dort genannte Angabe oder Information nicht, nicht richtig, nicht vollständig, nicht in der vorgeschriebenen Weise oder nicht rechtzeitig zur Verfügung stellt oder</w:t>
      </w:r>
    </w:p>
    <w:p>
      <w:pPr>
        <w:ind w:left="420"/>
      </w:pPr>
      <w:r>
        <w:t xml:space="preserve">4. entgegen § 4 Absatz 1 nicht sicherstellt, dass ein Reifen den dort genannten Aufkleber trägt oder die dort genannte Kennzeichnung angebracht ist und auf sie hingewiesen wird.</w:t>
      </w:r>
    </w:p>
    <w:p>
      <w:r>
        <w:rPr>
          <w:color w:val="555555"/>
          <w:sz w:val="17"/>
        </w:rPr>
        <w:t xml:space="preserve">Zitiervorschlag: § 6 ReifKennzV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https://recht.nulegal.eu/gesetze/reifkennzv--2017/6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ReifKennzV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