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RaumausMstrV — Prüfungsdauer und Bestehen des Teils I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Historische Fassung: Stand 10.06.2019 bis 01.07.2024. Dies ist nicht die aktuelle Fassung.</w:t>
      </w:r>
    </w:p>
    <w:p>
      <w:r>
        <w:t xml:space="preserve">(1) Die Durchführung des Meisterprüfungsprojekts soll nicht länger als sieben Arbeitstage, das Fachgespräch nicht länger als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3 : 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RaumausMstrV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https://recht.nulegal.eu/gesetze/raumausmstrv--2008/6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