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RaumausMstrV — Fachgespräch</w:t>
      </w:r>
    </w:p>
    <w:p>
      <w:r>
        <w:rPr>
          <w:color w:val="555555"/>
          <w:sz w:val="18"/>
        </w:rPr>
        <w:t xml:space="preserve">Raumausstattermeisterverordnung</w:t>
      </w:r>
    </w:p>
    <w:p>
      <w:r>
        <w:rPr>
          <w:color w:val="555555"/>
          <w:sz w:val="18"/>
        </w:rPr>
        <w:t xml:space="preserve">Historische Fassung: Stand 10.06.2019 bis 01.07.2024. Dies ist nicht die aktuelle Fassung.</w:t>
      </w:r>
    </w:p>
    <w:p>
      <w:r>
        <w:t xml:space="preserve">Nach Durchführung des Meisterprüfungsprojekts ist hierüber das Fachgespräch zu führen. Dabei soll der Prüfling nachweisen, dass er befähigt ist,</w:t>
      </w:r>
    </w:p>
    <w:p>
      <w:pPr>
        <w:ind w:left="420"/>
      </w:pPr>
      <w:r>
        <w:t xml:space="preserve">1. die fachlichen Zusammenhänge, die dem Meisterprüfungsprojekt zugrunde liegen, aufzuzeigen,</w:t>
      </w:r>
    </w:p>
    <w:p>
      <w:pPr>
        <w:ind w:left="420"/>
      </w:pPr>
      <w:r>
        <w:t xml:space="preserve">2. den Ablauf des Meisterprüfungsprojekts zu begründen,</w:t>
      </w:r>
    </w:p>
    <w:p>
      <w:pPr>
        <w:ind w:left="420"/>
      </w:pPr>
      <w:r>
        <w:t xml:space="preserve">3. mit dem Meisterprüfungsprojekt verbundene berufsbezogene Probleme sowie deren Lösungen darzustellen und dabei neue Entwicklungen zu berücksichtigen.</w:t>
      </w:r>
    </w:p>
    <w:p>
      <w:r>
        <w:rPr>
          <w:color w:val="555555"/>
          <w:sz w:val="17"/>
        </w:rPr>
        <w:t xml:space="preserve">Zitiervorschlag: § 5 RaumausMstrV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https://recht.nulegal.eu/gesetze/raumausmstrv--2008/5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