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RaumausMstrV — Inkrafttreten, Außerkrafttreten</w:t>
      </w:r>
    </w:p>
    <w:p>
      <w:r>
        <w:rPr>
          <w:color w:val="555555"/>
          <w:sz w:val="18"/>
        </w:rPr>
        <w:t xml:space="preserve">Raumausstattermeisterverordnung</w:t>
      </w:r>
    </w:p>
    <w:p>
      <w:r>
        <w:rPr>
          <w:color w:val="555555"/>
          <w:sz w:val="18"/>
        </w:rPr>
        <w:t xml:space="preserve">Historische Fassung: Stand 10.06.2019 bis 01.07.2024. Dies ist nicht die aktuelle Fassung.</w:t>
      </w:r>
    </w:p>
    <w:p>
      <w:r>
        <w:t xml:space="preserve">Diese Verordnung tritt am 1. Oktober 2008 in Kraft.</w:t>
      </w:r>
    </w:p>
    <w:p>
      <w:r>
        <w:rPr>
          <w:color w:val="555555"/>
          <w:sz w:val="17"/>
        </w:rPr>
        <w:t xml:space="preserve">Zitiervorschlag: § 10 RaumausMstrV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https://recht.nulegal.eu/gesetze/raumausmstrv--2008/10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