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RaumausMstrV — Gliederung und Inhalt der Meisterprüfung</w:t>
      </w:r>
    </w:p>
    <w:p>
      <w:r>
        <w:rPr>
          <w:color w:val="555555"/>
          <w:sz w:val="18"/>
        </w:rPr>
        <w:t xml:space="preserve">Raumausstattermeisterverordnung</w:t>
      </w:r>
    </w:p>
    <w:p>
      <w:r>
        <w:rPr>
          <w:color w:val="555555"/>
          <w:sz w:val="18"/>
        </w:rPr>
        <w:t xml:space="preserve">Historische Fassung: Stand 13.03.2020 bis 01.07.2024. Dies ist nicht die aktuelle Fassung.</w:t>
      </w:r>
    </w:p>
    <w:p>
      <w:r>
        <w:t xml:space="preserve">Die Meisterprüfung im zulassungspflichtigen Raumausstatter-Handwerk umfasst folgende selbständige Prüfungsteile:</w:t>
      </w:r>
    </w:p>
    <w:p>
      <w:pPr>
        <w:ind w:left="420"/>
      </w:pPr>
      <w:r>
        <w:t xml:space="preserve">1. die Prüfung der meisterhaften Verrichtung wesentlicher Tätigkeiten (Teil I),</w:t>
      </w:r>
    </w:p>
    <w:p>
      <w:pPr>
        <w:ind w:left="420"/>
      </w:pPr>
      <w:r>
        <w:t xml:space="preserve">2. die Prüfung der erforderlichen fachtheoretischen Kenntnisse (Teil II),</w:t>
      </w:r>
    </w:p>
    <w:p>
      <w:pPr>
        <w:ind w:left="420"/>
      </w:pPr>
      <w:r>
        <w:t xml:space="preserve">3. die Prüfung der erforderlichen betriebswirtschaftlichen, kaufmännischen und rechtlichen Kenntnisse (Teil III) und</w:t>
      </w:r>
    </w:p>
    <w:p>
      <w:pPr>
        <w:ind w:left="420"/>
      </w:pPr>
      <w:r>
        <w:t xml:space="preserve">4. die Prüfung der erforderlichen berufs- und arbeitspädagogischen Kenntnisse (Teil IV).</w:t>
      </w:r>
    </w:p>
    <w:p>
      <w:r>
        <w:rPr>
          <w:color w:val="555555"/>
          <w:sz w:val="17"/>
        </w:rPr>
        <w:t xml:space="preserve">Zitiervorschlag: § 1 RaumausMstrV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https://recht.nulegal.eu/gesetze/raumausmstrv--2008/1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