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PsychThG — Ausschluß der Geltung des Berufsbildungsgesetzes</w:t>
      </w:r>
    </w:p>
    <w:p>
      <w:r>
        <w:rPr>
          <w:color w:val="555555"/>
          <w:sz w:val="18"/>
        </w:rPr>
        <w:t xml:space="preserve">Psychotherapeutengesetz</w:t>
      </w:r>
    </w:p>
    <w:p>
      <w:r>
        <w:rPr>
          <w:color w:val="555555"/>
          <w:sz w:val="18"/>
        </w:rPr>
        <w:t xml:space="preserve">Historische Fassung: Stand 10.06.2019 bis 01.09.2020. Dies ist nicht die aktuelle Fassung.</w:t>
      </w:r>
    </w:p>
    <w:p>
      <w:r>
        <w:t xml:space="preserve">Auf die Ausbildungen nach diesem Gesetz findet das Berufsbildungsgesetz keine Anwendung.</w:t>
      </w:r>
    </w:p>
    <w:p>
      <w:r>
        <w:rPr>
          <w:color w:val="555555"/>
          <w:sz w:val="17"/>
        </w:rPr>
        <w:t xml:space="preserve">Zitiervorschlag: § 7 PsychThG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https://recht.nulegal.eu/gesetze/psychthg--1998/7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