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PsychThG — Rücknahme, Widerruf und Ruhen der Approbation, Verzicht</w:t>
      </w:r>
    </w:p>
    <w:p>
      <w:r>
        <w:rPr>
          <w:color w:val="555555"/>
          <w:sz w:val="18"/>
        </w:rPr>
        <w:t xml:space="preserve">Psychotherapeutengesetz</w:t>
      </w:r>
    </w:p>
    <w:p>
      <w:r>
        <w:rPr>
          <w:color w:val="555555"/>
          <w:sz w:val="18"/>
        </w:rPr>
        <w:t xml:space="preserve">Historische Fassung: Stand 10.06.2019 bis 01.09.2020. Dies ist nicht die aktuelle Fassung.</w:t>
      </w:r>
    </w:p>
    <w:p>
      <w:r>
        <w:t xml:space="preserve">(1) Die Approbation ist zurückzunehmen, wenn bei ihrer Erteilung die Voraussetzung des § 2 Abs. 1 Nr. 2 nicht vorgelegen hat, die im Ausland erworbene Ausbildung nach § 2 Abs. 2, 2a oder Abs. 3 Satz 2 oder die nach § 12 nachzuweisende Ausbildung nicht abgeschlossen war oder die Gleichwertigkeit der Ausbildung und Kenntnisse nach § 2 Abs. 2 Satz 3 und 4, Abs. 2a oder Abs. 3 Satz 4 nicht gegeben war. Sie kann zurückgenommen werden, wenn bei ihrer Erteilung eine der Voraussetzungen nach § 2 Abs. 1 Nr. 3 oder 4 nicht vorgelegen hat.</w:t>
      </w:r>
    </w:p>
    <w:p>
      <w:r>
        <w:t xml:space="preserve">(2) Die Approbation ist zu widerrufen, wenn nachträglich die Voraussetzung nach § 2 Abs. 1 Nr. 3 wegfällt. Gleiches gilt im Falle des nachträglichen, dauerhaften Wegfalls einer der Voraussetzungen nach § 2 Abs. 1 Nr. 4.</w:t>
      </w:r>
    </w:p>
    <w:p>
      <w:r>
        <w:t xml:space="preserve">(3) Das Ruhen der Approbation kann angeordnet werden, wenn</w:t>
      </w:r>
    </w:p>
    <w:p>
      <w:pPr>
        <w:ind w:left="420"/>
      </w:pPr>
      <w:r>
        <w:t xml:space="preserve">1. gegen den Approbationsinhaber wegen des Verdachts einer Straftat, aus der sich die Unwürdigkeit oder Unzuverlässigkeit zur Ausübung des Berufs ergeben kann, ein Strafverfahren eingeleitet ist,</w:t>
      </w:r>
    </w:p>
    <w:p>
      <w:pPr>
        <w:ind w:left="420"/>
      </w:pPr>
      <w:r>
        <w:t xml:space="preserve">2. nachträglich eine der Voraussetzungen nach § 2 Abs. 1 Nr. 4 vorübergehend nicht mehr vorliegt oder Zweifel bestehen, ob eine der Voraussetzungen nach § 2 Abs. 1 Nr. 4 noch erfüllt ist und der Approbationsinhaber sich weigert, sich einer von der zuständigen Behörde angeordneten amts- oder fachärztlichen Untersuchung zu unterziehen,</w:t>
      </w:r>
    </w:p>
    <w:p>
      <w:pPr>
        <w:ind w:left="420"/>
      </w:pPr>
      <w:r>
        <w:t xml:space="preserve">3. sich ergibt, dass der Approbationsinhaber nicht über die für die Ausübung der Berufstätigkeit erforderlichen Kenntnisse der deutschen Sprache verfügt.</w:t>
      </w:r>
    </w:p>
    <w:p>
      <w:r>
        <w:t xml:space="preserve">Die Anordnung ist aufzuheben, wenn ihre Voraussetzungen nicht mehr vorliegen. Der Psychologische Psychotherapeut oder der Kinder- und Jugendlichenpsychotherapeut, dessen Approbation ruht, darf den Beruf nicht ausüben. Die zuständige Behörde kann auf Antrag des Approbationsinhabers, dessen Approbation ruht, zulassen, daß die Praxis für einen von ihr zu bestimmenden Zeitraum durch einen anderen Psychologischen Psychotherapeuten oder Kinder- und Jugendlichenpsychotherapeuten weitergeführt werden darf.</w:t>
      </w:r>
    </w:p>
    <w:p>
      <w:r>
        <w:t xml:space="preserve">(4) Auf die Approbation kann durch schriftliche Erklärung gegenüber der zuständigen Behörde verzichtet werden. Ein Verzicht, der unter einer Bedingung erklärt wird, ist unwirksam.</w:t>
      </w:r>
    </w:p>
    <w:p>
      <w:r>
        <w:rPr>
          <w:color w:val="555555"/>
          <w:sz w:val="17"/>
        </w:rPr>
        <w:t xml:space="preserve">Zitiervorschlag: § 3 PsychThG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https://recht.nulegal.eu/gesetze/psychthg--1998/3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PsychThG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