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PsychThG — Unterrichtungspflichten</w:t>
      </w:r>
    </w:p>
    <w:p>
      <w:r>
        <w:rPr>
          <w:color w:val="555555"/>
          <w:sz w:val="18"/>
        </w:rPr>
        <w:t xml:space="preserve">Psychotherapeutengesetz</w:t>
      </w:r>
    </w:p>
    <w:p>
      <w:r>
        <w:rPr>
          <w:color w:val="555555"/>
          <w:sz w:val="18"/>
        </w:rPr>
        <w:t xml:space="preserve">Historische Fassung: Stand 10.06.2019 bis 01.09.2020. Dies ist nicht die aktuelle Fassung.</w:t>
      </w:r>
    </w:p>
    <w:p>
      <w:r>
        <w:t xml:space="preserve">(1) Die zuständigen Behörden des Landes, in dem der Beruf des Psychologischen Psychotherapeuten oder des Kinder- und Jugendlichenpsychotherapeuten ausgeübt wird oder zuletzt ausgeübt worden ist, unterrichten die zuständigen Behörden des Herkunftsmitgliedstaats über das Vorliegen strafrechtlicher Sanktionen, über die Rücknahme, den Widerruf und die Anordnung des Ruhens der Approbation oder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Psychologischen Psychotherapeuten oder des Kinder- und Jugendlichenpsychotherapeuten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PsychThG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https://recht.nulegal.eu/gesetze/psychthg--1998/2a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