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PreisV 30/53 — Selbstkostenerstattungspreise</w:t>
      </w:r>
    </w:p>
    <w:p>
      <w:r>
        <w:rPr>
          <w:color w:val="555555"/>
          <w:sz w:val="18"/>
        </w:rPr>
        <w:t xml:space="preserve">Verordnung PR Nr 30/53 über die Preise bei öffentlichen Aufträgen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Selbstkostenerstattungspreise dürfen nur vereinbart werden, wenn eine andere Preisermittlung nicht möglich ist. Die Höhe der erstattungsfähigen Kosten kann ganz oder teilweise durch Vereinbarung begrenzt werden.</w:t>
      </w:r>
    </w:p>
    <w:p>
      <w:r>
        <w:t xml:space="preserve">(2) Soweit es die Verhältnisse des Auftrags ermöglichen, soll in Vereinbarungen über Selbstkostenerstattungspreise vorgesehen werden, daß für einzelne Kalkulationsbereiche feste Sätze gelten.</w:t>
      </w:r>
    </w:p>
    <w:p>
      <w:r>
        <w:rPr>
          <w:color w:val="555555"/>
          <w:sz w:val="17"/>
        </w:rPr>
        <w:t xml:space="preserve">Zitiervorschlag: § 7 PreisV 30/53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https://recht.nulegal.eu/gesetze/preisv_30_53/7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