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PreisV 30/53 — Geltung der Preisvorschriften</w:t>
      </w:r>
    </w:p>
    <w:p>
      <w:r>
        <w:rPr>
          <w:color w:val="555555"/>
          <w:sz w:val="18"/>
        </w:rPr>
        <w:t xml:space="preserve">Verordnung PR Nr 30/53 über die Preise bei öffentlichen Aufträgen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Öffentliche Aufträge unterliegen den allgemeinen und besonderen Preisvorschriften.</w:t>
      </w:r>
    </w:p>
    <w:p>
      <w:r>
        <w:rPr>
          <w:color w:val="555555"/>
          <w:sz w:val="17"/>
        </w:rPr>
        <w:t xml:space="preserve">Zitiervorschlag: § 3 PreisV 30/53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https://recht.nulegal.eu/gesetze/preisv_30_53/3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