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PreisV 1/82</w:t>
      </w:r>
    </w:p>
    <w:p>
      <w:r>
        <w:rPr>
          <w:color w:val="555555"/>
          <w:sz w:val="18"/>
        </w:rPr>
        <w:t xml:space="preserve">Zweite Preisfreigabeverordnung (PR Nr. 1/82)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2 und 3 des Preisgesetzes in der im Bundesgesetzblatt Teil III, Gliederungsnummer 720-1, veröffentlichten bereinigten Fassung wird im Einvernehmen mit dem Bundesminister der Finanzen, dem Bundesminister für Ernährung, Landwirtschaft und Forsten, dem Bundesminister für Verkehr, dem Bundesminister für das Post- und Fernmeldewesen und dem Bundesminister für Raumordnung, Bauwesen und Städtebau verordnet:</w:t>
      </w:r>
    </w:p>
    <w:p>
      <w:r>
        <w:rPr>
          <w:color w:val="555555"/>
          <w:sz w:val="17"/>
        </w:rPr>
        <w:t xml:space="preserve">Zitiervorschlag: Eingangsformel PreisV 1/82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https://recht.nulegal.eu/gesetze/preisv_1_82/eingangsformel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