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PreisV 1/82</w:t>
      </w:r>
    </w:p>
    <w:p>
      <w:r>
        <w:rPr>
          <w:color w:val="555555"/>
          <w:sz w:val="18"/>
        </w:rPr>
        <w:t xml:space="preserve">Zweite Preisfreigabeverordnung (PR Nr. 1/82)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§ 2 nichts anderes bestimmt ist, werden folgende Vorschriften aufgehoben:</w:t>
      </w:r>
    </w:p>
    <w:p>
      <w:pPr>
        <w:ind w:left="420"/>
      </w:pPr>
      <w:r>
        <w:t xml:space="preserve">1. Vorschriften, die auf Grund des Gesetzes zur Durchführung des Vierjahresplanes - Bestellung eines Reichskommissars für die Preisbildung - vom 29. Oktober 1936 (RGBl. I S. 927) oder Preisvorschriften, die auf Grund von vor dem Inkrafttreten dieses Gesetzes geltenden Rechtsgrundlagen erlassen worden sind;</w:t>
      </w:r>
    </w:p>
    <w:p>
      <w:pPr>
        <w:ind w:left="420"/>
      </w:pPr>
      <w:r>
        <w:t xml:space="preserve">2. Preisvorschriften, die von den früheren Organisationen des Reichsnährstandes, den Reichsstellen, Wirtschafts- oder Fachgruppen erlassen worden sind;</w:t>
      </w:r>
    </w:p>
    <w:p>
      <w:pPr>
        <w:ind w:left="420"/>
      </w:pPr>
      <w:r>
        <w:t xml:space="preserve">3. Vorschriften, die eine Preisbehörde in der Zeit vom 8. Mai 1945 bis zum 31. März 1948, in den Ländern Baden, Rheinland-Pfalz, Württemberg-Hohenzollern und dem bayerischen Kreis Lindau bis zum 31. Dezember 1949 erlassen hat;</w:t>
      </w:r>
    </w:p>
    <w:p>
      <w:pPr>
        <w:ind w:left="420"/>
      </w:pPr>
      <w:r>
        <w:t xml:space="preserve">4. Vorschriften, die auf Grund des Preisgesetzes oder einer auf dieses Gesetz gestützten Rechtsverordnung erlassen worden sind.</w:t>
      </w:r>
    </w:p>
    <w:p>
      <w:r>
        <w:rPr>
          <w:color w:val="555555"/>
          <w:sz w:val="17"/>
        </w:rPr>
        <w:t xml:space="preserve">Zitiervorschlag: § 1 PreisV 1/82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https://recht.nulegal.eu/gesetze/preisv_1_82/1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