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PpUGV — Ermittlung des Pflegeaufwands zur Festlegung risikoadjustierter Pflegepersonaluntergrenzen</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(1) Das Institut für das Entgeltsystem im Krankenhaus ermittelt den Pflegeaufwand in den pflegesensitiven Bereichen in den Krankenhäusern. Der Pflegeaufwand wird für jeden pflegesensitiven Bereich in den Krankenhäusern für jeden Standort eines Krankenhauses gesondert auf der Grundlage des Katalogs zur Risikoadjustierung des Pflegeaufwands in der Version 0.99 ermittelt, den das Institut für das Entgeltsystem im Krankenhaus entwickelt hat. Für Fachabteilungen, die den pflegesensitiven Bereichen der Neurologie oder der Herzchirurgie zugeordnet werden, ist kein Pflegeaufwand zu ermitteln.</w:t>
      </w:r>
    </w:p>
    <w:p>
      <w:r>
        <w:t xml:space="preserve">(2) Das Institut für das Entgeltsystem im Krankenhaus hat den Katalog zur Risikoadjustierung des Pflegeaufwands zum Zweck der künftigen Weiterentwicklung und Differenzierung der Pflegepersonaluntergrenzen in Schweregradgruppen nach dem jeweiligen Pflegeaufwand jährlich zu aktualisieren.</w:t>
      </w:r>
    </w:p>
    <w:p>
      <w:r>
        <w:rPr>
          <w:color w:val="555555"/>
          <w:sz w:val="17"/>
        </w:rPr>
        <w:t xml:space="preserve">Zitiervorschlag: § 4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