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PpUGV — Ermittlung pflegesensitiver Bereiche in den Krankenhäusern</w:t>
      </w:r>
    </w:p>
    <w:p>
      <w:r>
        <w:rPr>
          <w:color w:val="555555"/>
          <w:sz w:val="18"/>
        </w:rPr>
        <w:t xml:space="preserve">Pflegepersonaluntergrenzen-Verordnung</w:t>
      </w:r>
    </w:p>
    <w:p>
      <w:r>
        <w:rPr>
          <w:color w:val="555555"/>
          <w:sz w:val="18"/>
        </w:rPr>
        <w:t xml:space="preserve">Historische Fassung: Stand 10.06.2019 bis 31.10.2019. Dies ist nicht die aktuelle Fassung.</w:t>
      </w:r>
    </w:p>
    <w:p>
      <w:r>
        <w:t xml:space="preserve">(1) Das Institut für das Entgeltsystem im Krankenhaus ermittelt bis zum 31. Oktober 2018 die pflegesensitiven Bereiche in den Krankenhäusern auf Grundlage</w:t>
      </w:r>
    </w:p>
    <w:p>
      <w:pPr>
        <w:ind w:left="420"/>
      </w:pPr>
      <w:r>
        <w:t xml:space="preserve">1. der nach § 21 des Krankenhausentgeltgesetzes übermittelten Daten des Jahres 2017 und</w:t>
      </w:r>
    </w:p>
    <w:p>
      <w:pPr>
        <w:ind w:left="420"/>
      </w:pPr>
      <w:r>
        <w:t xml:space="preserve">2. der in der Anlage enthaltenen Diagnosis Related Groups (Indikatoren-DRGs).</w:t>
      </w:r>
    </w:p>
    <w:p>
      <w:r>
        <w:t xml:space="preserve">(2) Ein pflegesensitiver Bereich in Krankenhäusern umfasst die jeweilige Fachabteilung mit ihren Stationen für jeden Standort des Krankenhauses gesondert. Erstreckt sich eine Fachabteilung, die als pflegesensitiver Bereich in den Krankenhäusern ermittelt wird, über mehrere Standorte eines Krankenhauses, so gilt die Fachabteilung mit ihren Stationen an jedem Standort des Krankenhauses als gesonderter pflegesensitiver Bereich im Krankenhaus. Der pflegesensitive Bereich der Intensivmedizin umfasst abweichend davon die jeweiligen Betten als Behandlungseinheiten einer Station für jeden Standort des Krankenhauses gesondert. Der Standort eines Krankenhauses bestimmt sich nach § 2 der zwischen dem Spitzenverband Bund der Krankenkassen und der Deutschen Krankenhausgesellschaft gemäß § 2a Absatz 1 des Krankenhausfinanzierungsgesetzes getroffenen Vereinbarung über die Definition von Standorten der Krankenhäuser und ihrer Ambulanzen vom 29. August 2017, die auf der Internetseite der Deutschen Krankenhausgesellschaft veröffentlicht ist.</w:t>
      </w:r>
    </w:p>
    <w:p>
      <w:r>
        <w:t xml:space="preserve">(3) Eine Fachabteilung ist ein pflegesensitiver Bereich in Krankenhäusern, wenn sie in den nach § 21 des Krankenhausentgeltgesetzes übermittelten Daten des Jahres 2017</w:t>
      </w:r>
    </w:p>
    <w:p>
      <w:pPr>
        <w:ind w:left="420"/>
      </w:pPr>
      <w:r>
        <w:t xml:space="preserve">1. als Fachabteilung der Geriatrie, der Unfallchirurgie, der Kardiologie, der Neurologie oder der Herzchirurgie oder als Fachabteilung mit einer entsprechenden Schwerpunktbezeichnung ausgewiesen ist; ausgenommen sind ausgewiesene Fachabteilungen für Kinder und Jugendliche, oder</w:t>
      </w:r>
    </w:p>
    <w:p>
      <w:pPr>
        <w:ind w:left="420"/>
      </w:pPr>
      <w:r>
        <w:t xml:space="preserve">2. einen Anteil von Fällen aufweist, der an ihrer Gesamtfallzahl mindestens 40 Prozent beträgt, und diese Fälle in die jeweiligen Indikatoren-DRGs entweder der Geriatrie, der Unfallchirurgie, der Kardiologie, der Neurologie oder der Herzchirurgie einzugruppieren sind.</w:t>
      </w:r>
    </w:p>
    <w:p>
      <w:r>
        <w:t xml:space="preserve">(4) Die als intensivmedizinische Behandlungseinheiten aufgestellten Betten einer Station sind ein pflegesensitiver Bereich in Krankenhäusern, wenn in den nach § 21 des Krankenhausentgeltgesetzes übermittelten Daten des Jahres 2017 eines Krankenhauses mindestens 400 Fälle mit einem Operationen- und Prozedurenschlüssel der intensivmedizinischen Komplexbehandlung oder der aufwendigen intensivmedizinischen Komplexbehandlung (8-980 oder 8-98f) nach dem Operationen- und Prozedurenschlüssel in der Version 2017, der nach § 301 Absatz 2 Satz 2 des Fünften Buches Sozialgesetzbuch vom Deutschen Institut für Medizinische Dokumentation und Information im Auftrag des Bundesministeriums für Gesundheit herausgegeben wird und insbesondere auf der Internetseite des Instituts veröffentlicht ist, enthalten sind.</w:t>
      </w:r>
    </w:p>
    <w:p>
      <w:r>
        <w:rPr>
          <w:color w:val="555555"/>
          <w:sz w:val="17"/>
        </w:rPr>
        <w:t xml:space="preserve">Zitiervorschlag: § 3 PpUGV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