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PatG/GebrMGAV</w:t>
      </w:r>
    </w:p>
    <w:p>
      <w:r>
        <w:rPr>
          <w:color w:val="555555"/>
          <w:sz w:val="18"/>
        </w:rPr>
        <w:t xml:space="preserve">Verordnung zur Ausführung des § 56 des Patentgesetzes und des § 9 des Gebrauchsmustergesetzes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30g des Patentgesetzes und des § 3a Abs. 2 des Gebrauchsmustergesetzes, beide in der Fassung der Bekanntmachung vom 9. Mai 1961 (Bundesgesetzbl. I S. 549), verordnet die Bundesregierung:</w:t>
      </w:r>
    </w:p>
    <w:p>
      <w:r>
        <w:rPr>
          <w:color w:val="555555"/>
          <w:sz w:val="17"/>
        </w:rPr>
        <w:t xml:space="preserve">Zitiervorschlag: Eingangsformel PatG/GebrMGAV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https://recht.nulegal.eu/gesetze/patg_gebrmgav/eingangsformel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PatG/GebrMGAV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