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PAngV — Ausnahmen</w:t>
      </w:r>
    </w:p>
    <w:p>
      <w:r>
        <w:rPr>
          <w:color w:val="555555"/>
          <w:sz w:val="18"/>
        </w:rPr>
        <w:t xml:space="preserve">Preisangabenverordnung</w:t>
      </w:r>
    </w:p>
    <w:p>
      <w:r>
        <w:rPr>
          <w:color w:val="555555"/>
          <w:sz w:val="18"/>
        </w:rPr>
        <w:t xml:space="preserve">Historische Fassung: Stand 10.06.2019 bis 28.05.2022. Dies ist nicht die aktuelle Fassung.</w:t>
      </w:r>
    </w:p>
    <w:p>
      <w:r>
        <w:t xml:space="preserve">(1) Die Vorschriften dieser Verordnung sind nicht anzuwenden</w:t>
      </w:r>
    </w:p>
    <w:p>
      <w:pPr>
        <w:ind w:left="420"/>
      </w:pPr>
      <w:r>
        <w:t xml:space="preserve">1. auf Angebote oder Werbung gegenüber Verbrauchern, die die Ware oder Leistung in ihrer selbständigen beruflichen oder gewerblichen oder in ihrer behördlichen oder dienstlichen Tätigkeit verwenden; für Handelsbetriebe gilt dies nur, wenn sie sicherstellen, dass als Verbraucher ausschließlich die in Halbsatz 1 genannten Personen Zutritt haben, und wenn sie durch geeignete Maßnahmen dafür Sorge tragen, dass diese Personen nur die in ihrer jeweiligen Tätigkeit verwendbaren Waren kaufen;</w:t>
      </w:r>
    </w:p>
    <w:p>
      <w:pPr>
        <w:ind w:left="420"/>
      </w:pPr>
      <w:r>
        <w:t xml:space="preserve">2. auf Leistungen von Gebietskörperschaften des öffentlichen Rechts, soweit es sich nicht um Leistungen handelt, für die Benutzungsgebühren oder privat-rechtliche Entgelte zu entrichten sind;</w:t>
      </w:r>
    </w:p>
    <w:p>
      <w:pPr>
        <w:ind w:left="420"/>
      </w:pPr>
      <w:r>
        <w:t xml:space="preserve">3. auf Waren und Leistungen, soweit für sie auf Grund von Rechtsvorschriften eine Werbung untersagt ist;</w:t>
      </w:r>
    </w:p>
    <w:p>
      <w:pPr>
        <w:ind w:left="420"/>
      </w:pPr>
      <w:r>
        <w:t xml:space="preserve">4. auf mündliche Angebote, die ohne Angabe von Preisen abgegeben werden;</w:t>
      </w:r>
    </w:p>
    <w:p>
      <w:pPr>
        <w:ind w:left="420"/>
      </w:pPr>
      <w:r>
        <w:t xml:space="preserve">5. auf Warenangebote bei Versteigerungen.</w:t>
      </w:r>
    </w:p>
    <w:p>
      <w:r>
        <w:t xml:space="preserve">(2) § 1 Abs. 1 und § 2 Abs. 1 sind nicht anzuwenden auf individuelle Preisnachlässe sowie auf nach Kalendertagen zeitlich begrenzte und durch Werbung bekannt gemachte generelle Preisnachlässe.</w:t>
      </w:r>
    </w:p>
    <w:p>
      <w:r>
        <w:t xml:space="preserve">(3) § 1 Abs. 2 ist nicht anzuwenden auf die in § 312 Absatz 2 Nummer 2, 3, 6, 9 und 10 und Absatz 6 des Bürgerlichen Gesetzbuchs genannten Verträge.</w:t>
      </w:r>
    </w:p>
    <w:p>
      <w:r>
        <w:t xml:space="preserve">(4) § 2 Abs. 1 ist nicht anzuwenden auf Waren, die</w:t>
      </w:r>
    </w:p>
    <w:p>
      <w:pPr>
        <w:ind w:left="420"/>
      </w:pPr>
      <w:r>
        <w:t xml:space="preserve">1. über ein Nenngewicht oder Nennvolumen von weniger als 10 Gramm oder Milliliter verfügen;</w:t>
      </w:r>
    </w:p>
    <w:p>
      <w:pPr>
        <w:ind w:left="420"/>
      </w:pPr>
      <w:r>
        <w:t xml:space="preserve">2. verschiedenartige Erzeugnisse enthalten, die nicht miteinander vermischt oder vermengt sind;</w:t>
      </w:r>
    </w:p>
    <w:p>
      <w:pPr>
        <w:ind w:left="420"/>
      </w:pPr>
      <w:r>
        <w:t xml:space="preserve">3. von kleinen Direktvermarktern sowie kleinen Einzelhandelsgeschäften angeboten werden, bei denen die Warenausgabe überwiegend im Wege der Bedienung erfolgt, es sei denn, dass das Warensortiment im Rahmen eines Vertriebssystems bezogen wird;</w:t>
      </w:r>
    </w:p>
    <w:p>
      <w:pPr>
        <w:ind w:left="420"/>
      </w:pPr>
      <w:r>
        <w:t xml:space="preserve">4. im Rahmen einer Dienstleistung angeboten werden;</w:t>
      </w:r>
    </w:p>
    <w:p>
      <w:pPr>
        <w:ind w:left="420"/>
      </w:pPr>
      <w:r>
        <w:t xml:space="preserve">5. in Getränke- und Verpflegungsautomaten angeboten werden.</w:t>
      </w:r>
    </w:p>
    <w:p>
      <w:r>
        <w:t xml:space="preserve">(5) § 2 Abs. 1 ist ferner nicht anzuwenden bei</w:t>
      </w:r>
    </w:p>
    <w:p>
      <w:pPr>
        <w:ind w:left="420"/>
      </w:pPr>
      <w:r>
        <w:t xml:space="preserve">1. Kau- und Schnupftabak mit einem Nenngewicht bis 25 Gramm;</w:t>
      </w:r>
    </w:p>
    <w:p>
      <w:pPr>
        <w:ind w:left="420"/>
      </w:pPr>
      <w:r>
        <w:t xml:space="preserve">2. kosmetischen Mitteln, die ausschließlich der Färbung oder Verschönerung der Haut, des Haares oder der Nägel dienen;</w:t>
      </w:r>
    </w:p>
    <w:p>
      <w:pPr>
        <w:ind w:left="420"/>
      </w:pPr>
      <w:r>
        <w:t xml:space="preserve">3. Parfüms und parfümierten Duftwässern, die mindestens 3 Volumenprozent Duftöl und mindestens 70 Volumenprozent reinen Äthylalkohol enthalten.</w:t>
      </w:r>
    </w:p>
    <w:p>
      <w:r>
        <w:t xml:space="preserve">(6) Die Angabe eines neuen Grundpreises nach § 2 Abs. 1 ist nicht erforderlich bei</w:t>
      </w:r>
    </w:p>
    <w:p>
      <w:pPr>
        <w:ind w:left="420"/>
      </w:pPr>
      <w:r>
        <w:t xml:space="preserve">1. Waren ungleichen Nenngewichts oder -volumens oder ungleicher Nennlänge oder -fläche mit gleichem Grundpreis, wenn der geforderte Gesamtpreis um einen einheitlichen Betrag herabgesetzt wird;</w:t>
      </w:r>
    </w:p>
    <w:p>
      <w:pPr>
        <w:ind w:left="420"/>
      </w:pPr>
      <w:r>
        <w:t xml:space="preserve">2. leicht verderblichen Lebensmitteln, wenn der geforderte Gesamtpreis wegen einer drohenden Gefahr des Verderbs herabgesetzt wird.</w:t>
      </w:r>
    </w:p>
    <w:p>
      <w:r>
        <w:t xml:space="preserve">(7) § 4 ist nicht anzuwenden</w:t>
      </w:r>
    </w:p>
    <w:p>
      <w:pPr>
        <w:ind w:left="420"/>
      </w:pPr>
      <w:r>
        <w:t xml:space="preserve">1. auf Kunstgegenstände, Sammlungsstücke und Antiquitäten im Sinne des Kapitels 97 des Gemeinsamen Zolltarifs;</w:t>
      </w:r>
    </w:p>
    <w:p>
      <w:pPr>
        <w:ind w:left="420"/>
      </w:pPr>
      <w:r>
        <w:t xml:space="preserve">2. auf Waren, die in Werbevorführungen angeboten werden, sofern der Preis der jeweiligen Ware bei deren Vorführung und unmittelbar vor Abschluss des Kaufvertrags genannt wird;</w:t>
      </w:r>
    </w:p>
    <w:p>
      <w:pPr>
        <w:ind w:left="420"/>
      </w:pPr>
      <w:r>
        <w:t xml:space="preserve">3. auf Blumen und Pflanzen, die unmittelbar vom Freiland, Treibbeet oder Treibhaus verkauft werden.</w:t>
      </w:r>
    </w:p>
    <w:p>
      <w:r>
        <w:t xml:space="preserve">(8) § 5 ist nicht anzuwenden</w:t>
      </w:r>
    </w:p>
    <w:p>
      <w:pPr>
        <w:ind w:left="420"/>
      </w:pPr>
      <w:r>
        <w:t xml:space="preserve">1. auf Leistungen, die üblicherweise aufgrund von schriftlichen Angeboten oder schriftlichen Voranschlägen erbracht werden, die auf den Einzelfall abgestellt sind;</w:t>
      </w:r>
    </w:p>
    <w:p>
      <w:pPr>
        <w:ind w:left="420"/>
      </w:pPr>
      <w:r>
        <w:t xml:space="preserve">2. auf künstlerische, wissenschaftliche und pädagogische Leistungen; dies gilt nicht, wenn die Leistungen in Konzertsälen, Theatern, Filmtheatern, Schulen, Instituten oder dergleichen erbracht werden;</w:t>
      </w:r>
    </w:p>
    <w:p>
      <w:pPr>
        <w:ind w:left="420"/>
      </w:pPr>
      <w:r>
        <w:t xml:space="preserve">3. auf Leistungen, bei denen in Gesetzen oder Rechtsverordnungen die Angabe von Preisen besonders geregelt ist.</w:t>
      </w:r>
    </w:p>
    <w:p>
      <w:r>
        <w:rPr>
          <w:color w:val="555555"/>
          <w:sz w:val="17"/>
        </w:rPr>
        <w:t xml:space="preserve">Zitiervorschlag: § 9 PAngV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https://recht.nulegal.eu/gesetze/pangv--1985/9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