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PAngV — Verbraucherdarlehen</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Wer Verbrauchern gewerbs- oder geschäftsmäßig oder wer ihnen regelmäßig in sonstiger Weise den Abschluss von Verbraucherdarlehen im Sinne des § 491 des Bürgerlichen Gesetzbuchs anbietet, hat als Preis die nach den Absätzen 2 bis 6 und 8 berechneten Gesamtkosten des Verbraucherdarlehens für den Verbraucher, ausgedrückt als jährlicher Prozentsatz des Nettodarlehensbetrags, soweit zutreffend, einschließlich der Kosten gemäß Absatz 3 Satz 2 Nummer 1, anzugeben und als effektiven Jahreszins zu bezeichnen.</w:t>
      </w:r>
    </w:p>
    <w:p>
      <w:r>
        <w:t xml:space="preserve">(2) Der anzugebende effektive Jahreszins gemäß Absatz 1 ist mit der in der Anlage angegebenen mathematischen Formel und nach den in der Anlage zugrunde gelegten Vorgehensweisen zu berechnen. Bei der Berechnung des effektiven Jahreszinses wird von der Annahme ausgegangen, dass der Verbraucherdarlehensvertrag für den vereinbarten Zeitraum gilt und dass Darlehensgeber und Verbraucher ihren Verpflichtungen zu den im Verbraucherdarlehensvertrag niedergelegten Bedingungen und Terminen nachkommen.</w:t>
      </w:r>
    </w:p>
    <w:p>
      <w:r>
        <w:t xml:space="preserve">(3) In die Berechnung des anzugebenden effektiven Jahreszinses sind als Gesamtkosten die vom Verbraucher zu entrichtenden Zinsen und alle sonstigen Kosten einschließlich etwaiger Vermittlungskosten einzubeziehen, die der Verbraucher im Zusammenhang mit dem Verbraucherdarlehensvertrag zu entrichten hat und die dem Darlehensgeber bekannt sind. Zu den sonstigen Kosten gehören:</w:t>
      </w:r>
    </w:p>
    <w:p>
      <w:pPr>
        <w:ind w:left="420"/>
      </w:pPr>
      <w:r>
        <w:t xml:space="preserve">1. Kosten für die Eröffnung und Führung eines spezifischen Kontos, Kosten für die Verwendung eines Zahlungsmittels, mit dem sowohl Geschäfte auf diesem Konto getätigt als auch Verbraucherdarlehensbeträge in Anspruch genommen werden können, sowie sonstige Kosten für Zahlungsgeschäfte, wenn die Eröffnung oder Führung eines Kontos Voraussetzung dafür ist, dass das Verbraucherdarlehen überhaupt oder nach den vorgesehenen Vertragsbedingungen gewährt wird;</w:t>
      </w:r>
    </w:p>
    <w:p>
      <w:pPr>
        <w:ind w:left="420"/>
      </w:pPr>
      <w:r>
        <w:t xml:space="preserve">2. Kosten für die Immobilienbewertung, sofern eine solche Bewertung für die Gewährung des Verbraucherdarlehens erforderlich ist.</w:t>
      </w:r>
    </w:p>
    <w:p>
      <w:r>
        <w:t xml:space="preserve">(4) Nicht in die Berechnung der Gesamtkosten einzubeziehen sind, soweit zutreffend:</w:t>
      </w:r>
    </w:p>
    <w:p>
      <w:pPr>
        <w:ind w:left="420"/>
      </w:pPr>
      <w:r>
        <w:t xml:space="preserve">1. Kosten, die vom Verbraucher bei Nichterfüllung seiner Verpflichtungen aus dem Verbraucherdarlehensvertrag zu tragen sind;</w:t>
      </w:r>
    </w:p>
    <w:p>
      <w:pPr>
        <w:ind w:left="420"/>
      </w:pPr>
      <w:r>
        <w:t xml:space="preserve">2. Kosten für solche Versicherungen und für solche anderen Zusatzleistungen, die keine Voraussetzung für die Verbraucherdarlehensvergabe oder für die Verbraucherdarlehensvergabe zu den vorgesehenen Vertragsbedingungen sind;</w:t>
      </w:r>
    </w:p>
    <w:p>
      <w:pPr>
        <w:ind w:left="420"/>
      </w:pPr>
      <w:r>
        <w:t xml:space="preserve">3. Kosten mit Ausnahme des Kaufpreises, die vom Verbraucher beim Erwerb von Waren oder Dienstleistungen unabhängig davon zu tragen sind, ob es sich um ein Bar- oder Verbraucherdarlehensgeschäft handelt;</w:t>
      </w:r>
    </w:p>
    <w:p>
      <w:pPr>
        <w:ind w:left="420"/>
      </w:pPr>
      <w:r>
        <w:t xml:space="preserve">4. Gebühren für die Eintragung der Eigentumsübertragung oder der Übertragung eines grundstücksgleichen Rechts in das Grundbuch;</w:t>
      </w:r>
    </w:p>
    <w:p>
      <w:pPr>
        <w:ind w:left="420"/>
      </w:pPr>
      <w:r>
        <w:t xml:space="preserve">5. Notarkosten.</w:t>
      </w:r>
    </w:p>
    <w:p>
      <w:r>
        <w:t xml:space="preserve">(5) Ist eine Änderung des Zinssatzes oder sonstiger in die Berechnung des anzugebenden effektiven Jahreszinses einzubeziehender Kosten vorbehalten und ist ihre zahlenmäßige Bestimmung im Zeitpunkt der Berechnung des anzugebenden effektiven Jahreszinses nicht möglich, so wird bei der Berechnung von der Annahme ausgegangen, dass der Sollzinssatz und die sonstigen Kosten gemessen an der ursprünglichen Höhe fest bleiben und bis zum Ende des Verbraucherdarlehensvertrags gelten.</w:t>
      </w:r>
    </w:p>
    <w:p>
      <w:r>
        <w:t xml:space="preserve">(6) Erforderlichenfalls ist bei der Berechnung des anzugebenden effektiven Jahreszinses von den in der Anlage niedergelegten Annahmen auszugehen.</w:t>
      </w:r>
    </w:p>
    <w:p>
      <w:r>
        <w:t xml:space="preserve">(7) Ist der Abschluss eines Vertrags über die Inanspruchnahme einer Nebenleistung, insbesondere eines Versicherungsvertrags oder allgemein einer Mitgliedschaft, zwingende Voraussetzung dafür, dass das Verbraucherdarlehen überhaupt oder nach den vorgesehenen Vertragsbedingungen gewährt wird, und können die Kosten der Nebenleistung nicht im Voraus bestimmt werden, so ist in klarer, eindeutiger und auffallender Art und Weise darauf hinzuweisen,</w:t>
      </w:r>
    </w:p>
    <w:p>
      <w:pPr>
        <w:ind w:left="420"/>
      </w:pPr>
      <w:r>
        <w:t xml:space="preserve">1. dass eine Verpflichtung zum Abschluss des Vertrages über die Nebenleistung besteht und</w:t>
      </w:r>
    </w:p>
    <w:p>
      <w:pPr>
        <w:ind w:left="420"/>
      </w:pPr>
      <w:r>
        <w:t xml:space="preserve">2. wie hoch der effektive Jahreszins des Verbraucherdarlehens ist.</w:t>
      </w:r>
    </w:p>
    <w:p>
      <w:r>
        <w:t xml:space="preserve">(8) Bei Bauspardarlehen ist bei der Berechnung des anzugebenden effektiven Jahreszinses davon auszugehen, dass im Zeitpunkt der Verbraucherdarlehensauszahlung das vertragliche Mindestsparguthaben angespart ist. Von der Abschlussgebühr ist im Zweifel lediglich der Teil zu berücksichtigen, der auf den Verbraucherdarlehensanteil der Bausparvertragssumme entfällt. Bei Verbraucherdarlehen, die der Vor- oder Zwischenfinanzierung von Leistungen einer Bausparkasse aus Bausparverträgen dienen und deren preisbestimmende Faktoren bis zur Zuteilung unveränderbar sind, ist als Laufzeit von den Zuteilungsfristen auszugehen, die sich aus der Zielbewertungszahl für Bausparverträge gleicher Art ergeben. Bei vor- oder zwischenfinanzierten Bausparverträgen gemäß Satz 3 ist für das Gesamtprodukt aus Vor- oder Zwischenfinanzierungsdarlehen und Bausparvertrag der effektive Jahreszins für die Gesamtlaufzeit anzugeben.</w:t>
      </w:r>
    </w:p>
    <w:p>
      <w:r>
        <w:rPr>
          <w:color w:val="555555"/>
          <w:sz w:val="17"/>
        </w:rPr>
        <w:t xml:space="preserve">Zitiervorschlag: § 6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