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PAngV — Handel</w:t>
      </w:r>
    </w:p>
    <w:p>
      <w:r>
        <w:rPr>
          <w:color w:val="555555"/>
          <w:sz w:val="18"/>
        </w:rPr>
        <w:t xml:space="preserve">Preisangabenverordnung</w:t>
      </w:r>
    </w:p>
    <w:p>
      <w:r>
        <w:rPr>
          <w:color w:val="555555"/>
          <w:sz w:val="18"/>
        </w:rPr>
        <w:t xml:space="preserve">Historische Fassung: Stand 10.06.2019 bis 28.05.2022. Dies ist nicht die aktuelle Fassung.</w:t>
      </w:r>
    </w:p>
    <w:p>
      <w:r>
        <w:t xml:space="preserve">(1) Waren, die in Schaufenstern, Schaukästen, innerhalb oder außerhalb des Verkaufsraumes auf Verkaufsständen oder in sonstiger Weise sichtbar ausgestellt werden, und Waren, die vom Verbraucher unmittelbar entnommen werden können, sind durch Preisschilder oder Beschriftung der Ware auszuzeichnen.</w:t>
      </w:r>
    </w:p>
    <w:p>
      <w:r>
        <w:t xml:space="preserve">(2) Waren, die nicht unter den Voraussetzungen des Absatzes 1 im Verkaufsraum zum Verkauf bereitgehalten werden, sind entweder nach Absatz 1 auszuzeichnen oder dadurch, dass die Behältnisse oder Regale, in denen sich die Waren befinden, beschriftet werden oder dass Preisverzeichnisse angebracht oder zur Einsichtnahme aufgelegt werden.</w:t>
      </w:r>
    </w:p>
    <w:p>
      <w:r>
        <w:t xml:space="preserve">(3) Waren, die nach Musterbüchern angeboten werden, sind dadurch auszuzeichnen, dass die Preise für die Verkaufseinheit auf den Mustern oder damit verbundenen Preisschildern oder Preisverzeichnissen angegeben werden.</w:t>
      </w:r>
    </w:p>
    <w:p>
      <w:r>
        <w:t xml:space="preserve">(4) Waren, die nach Katalogen oder Warenlisten oder auf Bildschirmen angeboten werden, sind dadurch auszuzeichnen, dass die Preise unmittelbar bei den Abbildungen oder Beschreibungen der Waren oder in mit den Katalogen oder Warenlisten im Zusammenhang stehenden Preisverzeichnissen angegeben werden.</w:t>
      </w:r>
    </w:p>
    <w:p>
      <w:r>
        <w:t xml:space="preserve">(5) Auf Angebote von Waren, deren Preise üblicherweise auf Grund von Tarifen oder Gebührenregelungen bemessen werden, ist § 5 Abs. 1 und 2 entsprechend anzuwenden.</w:t>
      </w:r>
    </w:p>
    <w:p>
      <w:r>
        <w:rPr>
          <w:color w:val="555555"/>
          <w:sz w:val="17"/>
        </w:rPr>
        <w:t xml:space="preserve">Zitiervorschlag: § 4 PAngV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https://recht.nulegal.eu/gesetze/pangv--1985/4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