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FS (Nordrhein-Westfalen)</w:t>
      </w:r>
    </w:p>
    <w:p>
      <w:r>
        <w:rPr>
          <w:color w:val="555555"/>
          <w:sz w:val="18"/>
        </w:rPr>
        <w:t xml:space="preserve">Finanzierungssatzung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August 2021</w:t>
      </w:r>
    </w:p>
    <w:p>
      <w:r>
        <w:t xml:space="preserve">Aufgrund von § 104 Abs. 10 Satz 4 Medienstaatsvertrag (MStV) vom 14. bis 28. April 2020 (GV. NRW. S. 524) und nach Maßgabe des Vertrages über die Zusammenarbeit der Arbeitsgemeinschaft der Landesmedienanstalten in der Bundesrepublik Deutschland (ALM) – ALM-Statut – in der jeweils geltenden Fassung erlässt die Landesanstalt für Medien Nordrhein-Westfalen (LfM) übereinstimmend mit den übrigen Landesmedienanstalten die folgende Satzung:</w:t>
      </w:r>
    </w:p>
    <w:p>
      <w:r>
        <w:rPr>
          <w:color w:val="555555"/>
          <w:sz w:val="17"/>
        </w:rPr>
        <w:t xml:space="preserve">Zitiervorschlag: Volltext 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https://recht.nulegal.eu/gesetze/nw-33292--2021/volltext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FS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