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FS (Nordrhein-Westfalen) — Finanzierung der ALM GbR</w:t>
      </w:r>
    </w:p>
    <w:p>
      <w:r>
        <w:rPr>
          <w:color w:val="555555"/>
          <w:sz w:val="18"/>
        </w:rPr>
        <w:t xml:space="preserve">Finanzierungssatzung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Jeder Gesellschafter (§ 1 ALM-Statut) trägt zur Finanzierung im Rahmen eines jährlich zu beschließenden Finanzierungsschlüssels bei und haftet im Innenverhältnis nur in diesem Umfang. Der Finanzierungsschlüssel bestimmt sich aus dem Verhältnis des der jeweiligen Landesmedienanstalt zustehenden Anteils am Aufkommen aus dem Rundfunkbeitrag zum Gesamtaufkommen. Daneben werden Einnahmen aus Verwaltungsgebühren zur Finanzierung herangezogen.</w:t>
      </w:r>
    </w:p>
    <w:p>
      <w:r>
        <w:rPr>
          <w:color w:val="555555"/>
          <w:sz w:val="17"/>
        </w:rPr>
        <w:t xml:space="preserve">Zitiervorschlag: § 4 FS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https://recht.nulegal.eu/gesetze/nw-33292--2021/4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