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 (Nordrhein-Westfalen) — Gesamtwirtschaftsplan</w:t>
      </w:r>
    </w:p>
    <w:p>
      <w:r>
        <w:rPr>
          <w:color w:val="555555"/>
          <w:sz w:val="18"/>
        </w:rPr>
        <w:t xml:space="preserve">Finanzierungssatzung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von den Organen jeweils aufgestellten Einzelwirtschaftspläne nach § 104 Abs. 10 MStV werden von dem/der BfH gemeinsam mit den sonstigen Gemeinschaftskosten in einem Gesamtwirtschaftsplan der ALM GbR zusammengefasst.</w:t>
      </w:r>
    </w:p>
    <w:p>
      <w:r>
        <w:t xml:space="preserve">(2) Der Gesamtwirtschaftsplan und die Einzelwirtschaftspläne müssen den Grundsätzen der Wirtschaftlichkeit und Sparsamkeit entsprechen.</w:t>
      </w:r>
    </w:p>
    <w:p>
      <w:r>
        <w:t xml:space="preserve">(3) Der Gesamtwirtschaftsplan enthält die voraussichtlichen Ausgaben (Personal-, Sach-, und sonstige Ausgaben) für das folgende Rechnungsjahr. Rechnungsjahr des Gesamtwirtschaftsplanes ist das Kalenderjahr.</w:t>
      </w:r>
    </w:p>
    <w:p>
      <w:r>
        <w:t xml:space="preserve">(4) Als Einnahmen sind im Gesamtwirtschaftsplan die Zuführungen an die ALM GbR durch die Landesmedienanstalten vorzusehen.</w:t>
      </w:r>
    </w:p>
    <w:p>
      <w:r>
        <w:t xml:space="preserve">(5) Die Aufstellung und der Vollzug des Gesamtwirtschaftsplanes erfolgt in Anlehnung an das Haushaltsrecht des Landes Berlin. Durch den Gesamtwirtschaftsplan und die Anmeldungen der Organe nach § 104 Abs. 2 MStV werden Ansprüche und Verbindlichkeiten weder begründet noch aufgehoben.</w:t>
      </w:r>
    </w:p>
    <w:p>
      <w:r>
        <w:t xml:space="preserve">(6) Der/die BfH legt den Gesamtwirtschaftsplan spätestens bis zum 15. September eines Jahres vor. Gesamtwirtschaftsplan und Finanzierungsschlüssel werden nach § 1 ALM-Statut einstimmig beschlossen.</w:t>
      </w:r>
    </w:p>
    <w:p>
      <w:r>
        <w:t xml:space="preserve">(7) Den für die Landesmedienanstalten zuständigen Landesrechnungshöfen ist ein Prüfungsrecht eingeräumt. Näheres regelt eine Vereinbarung mit den Landesrechnungshöfen.</w:t>
      </w:r>
    </w:p>
    <w:p>
      <w:r>
        <w:rPr>
          <w:color w:val="555555"/>
          <w:sz w:val="17"/>
        </w:rPr>
        <w:t xml:space="preserve">Zitiervorschlag: § 3 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https://recht.nulegal.eu/gesetze/nw-33292--2021/3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