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FS (Nordrhein-Westfalen) — Grundsatz</w:t>
      </w:r>
    </w:p>
    <w:p>
      <w:r>
        <w:rPr>
          <w:color w:val="555555"/>
          <w:sz w:val="18"/>
        </w:rPr>
        <w:t xml:space="preserve">Finanzierungssatzung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Landesmedienanstalten decken die notwendigen Ausgaben für die personellen und sachlichen Mittel der Organe nach § 104 Abs. 2 MStV sowie für die übrigen Gemeinschaftsaufgaben nach § 2 des ALM-Statutes.</w:t>
      </w:r>
    </w:p>
    <w:p>
      <w:r>
        <w:rPr>
          <w:color w:val="555555"/>
          <w:sz w:val="17"/>
        </w:rPr>
        <w:t xml:space="preserve">Zitiervorschlag: § 1 FS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https://recht.nulegal.eu/gesetze/nw-33292--2021/1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