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BesVersAnpG 2013/2014 NRW (Nordrhein-Westfalen) — Inkrafttreten</w:t>
      </w:r>
    </w:p>
    <w:p>
      <w:r>
        <w:rPr>
          <w:color w:val="555555"/>
          <w:sz w:val="18"/>
        </w:rPr>
        <w:t xml:space="preserve">Besoldungs- und Versorgungsanpassungsgesetz 2013/2014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mit Wirkung vom 1. Januar 2013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Die Ministerpräsidentin</w:t>
      </w:r>
    </w:p>
    <w:p>
      <w:r>
        <w:t xml:space="preserve">Die Ministerin</w:t>
      </w:r>
    </w:p>
    <w:p>
      <w:r>
        <w:t xml:space="preserve">für Schule und Weiterbildung</w:t>
      </w:r>
    </w:p>
    <w:p>
      <w:r>
        <w:t xml:space="preserve">Der Finanzminister</w:t>
      </w:r>
    </w:p>
    <w:p>
      <w:r>
        <w:t xml:space="preserve">Der Minister</w:t>
      </w:r>
    </w:p>
    <w:p>
      <w:r>
        <w:t xml:space="preserve">für Wirtschaft, Energie, Industrie,</w:t>
      </w:r>
    </w:p>
    <w:p>
      <w:r>
        <w:t xml:space="preserve">Mittelstand und Handwerk</w:t>
      </w:r>
    </w:p>
    <w:p>
      <w:r>
        <w:t xml:space="preserve">zugleich für den Finanzminister</w:t>
      </w:r>
    </w:p>
    <w:p>
      <w:r>
        <w:t xml:space="preserve">Der Minister</w:t>
      </w:r>
    </w:p>
    <w:p>
      <w:r>
        <w:t xml:space="preserve">für Inneres und Kommunales</w:t>
      </w:r>
    </w:p>
    <w:p>
      <w:r>
        <w:t xml:space="preserve">Der Minister</w:t>
      </w:r>
    </w:p>
    <w:p>
      <w:r>
        <w:t xml:space="preserve">für Arbeit, Integration und Soziales</w:t>
      </w:r>
    </w:p>
    <w:p>
      <w:r>
        <w:t xml:space="preserve">Der Justizminister</w:t>
      </w:r>
    </w:p>
    <w:p>
      <w:r>
        <w:t xml:space="preserve">Der Minister</w:t>
      </w:r>
    </w:p>
    <w:p>
      <w:r>
        <w:t xml:space="preserve">für Klimaschutz, Umwelt, Landwirtschaft,</w:t>
      </w:r>
    </w:p>
    <w:p>
      <w:r>
        <w:t xml:space="preserve">Natur- und Verbraucherschutz</w:t>
      </w:r>
    </w:p>
    <w:p>
      <w:r>
        <w:t xml:space="preserve">Der Minister</w:t>
      </w:r>
    </w:p>
    <w:p>
      <w:r>
        <w:t xml:space="preserve">für Bauen, Wohnen, Stadtentwicklung und Verkehr</w:t>
      </w:r>
    </w:p>
    <w:p>
      <w:r>
        <w:t xml:space="preserve">Die Ministerin</w:t>
      </w:r>
    </w:p>
    <w:p>
      <w:r>
        <w:t xml:space="preserve">für Innovation, Wissenschaft und Forschung</w:t>
      </w:r>
    </w:p>
    <w:p>
      <w:r>
        <w:t xml:space="preserve">Die Ministerin</w:t>
      </w:r>
    </w:p>
    <w:p>
      <w:r>
        <w:t xml:space="preserve">für Familie, Kinder, Jugend,</w:t>
      </w:r>
    </w:p>
    <w:p>
      <w:r>
        <w:t xml:space="preserve">Kultur und Sport</w:t>
      </w:r>
    </w:p>
    <w:p>
      <w:r>
        <w:t xml:space="preserve">Die Ministerin</w:t>
      </w:r>
    </w:p>
    <w:p>
      <w:r>
        <w:t xml:space="preserve">für Gesundheit, Emanzipation, Pflege und Alter</w:t>
      </w:r>
    </w:p>
    <w:p>
      <w:r>
        <w:t xml:space="preserve">Die Ministerin</w:t>
      </w:r>
    </w:p>
    <w:p>
      <w:r>
        <w:t xml:space="preserve">für Bundesangelegenheiten, Europa und Medien</w:t>
      </w:r>
    </w:p>
    <w:p>
      <w:r>
        <w:t xml:space="preserve">Hinweis:</w:t>
      </w:r>
    </w:p>
    <w:p>
      <w:r>
        <w:t xml:space="preserve">Auf Grund des Inkrafttretens des Änderungsgesetzes vom 11. November 2014 mit Wirkung vom 1. Januar 2013 ist die am 16. Juli 2013 verabschiedete Fassung nur im Gesetz- und Verordnungsblatt (GV. NRW. S. 486) einzusehen.</w:t>
      </w:r>
    </w:p>
    <w:p>
      <w:r>
        <w:rPr>
          <w:color w:val="555555"/>
          <w:sz w:val="17"/>
        </w:rPr>
        <w:t xml:space="preserve">Zitiervorschlag: § 5 BesVersAnpG 2013/2014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https://recht.nulegal.eu/gesetze/nw-30857/5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