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BesVersAnpG 2013/2014 NRW (Nordrhein-Westfalen) — Bekanntmachungsermächtigung</w:t>
      </w:r>
    </w:p>
    <w:p>
      <w:r>
        <w:rPr>
          <w:color w:val="555555"/>
          <w:sz w:val="18"/>
        </w:rPr>
        <w:t xml:space="preserve">Besoldungs- und Versorgungsanpassungsgesetz 2013/2014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Finanzministerium wird ermächtigt, die nach den §§ 2 und 3 geänderten Beträge im Ministerialblatt für das Land Nordrhein-Westfalen bekannt zu machen.</w:t>
      </w:r>
    </w:p>
    <w:p>
      <w:r>
        <w:rPr>
          <w:color w:val="555555"/>
          <w:sz w:val="17"/>
        </w:rPr>
        <w:t xml:space="preserve">Zitiervorschlag: § 4 BesVersAnpG 2013/2014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https://recht.nulegal.eu/gesetze/nw-30857/4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BesVersAnpG 2013/2014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