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BesVersAnpG 2011/2012 NRW (Nordrhein-Westfalen) — Bekanntmachungsermächtigung</w:t>
      </w:r>
    </w:p>
    <w:p>
      <w:r>
        <w:rPr>
          <w:color w:val="555555"/>
          <w:sz w:val="18"/>
        </w:rPr>
        <w:t xml:space="preserve">Besoldungs- und Versorgungsanpassungsgesetz 2011/2012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Finanzministerium wird ermächtigt, die nach §§ 4 bis 7 erhöhten Beträge im Ministerialblatt des Landes bekannt zu machen.</w:t>
      </w:r>
    </w:p>
    <w:p>
      <w:r>
        <w:rPr>
          <w:color w:val="555555"/>
          <w:sz w:val="17"/>
        </w:rPr>
        <w:t xml:space="preserve">Zitiervorschlag: § 8 BesVersAnpG 2011/2012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https://recht.nulegal.eu/gesetze/nw-30284/8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BesVersAnpG 2011/2012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