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BesVersAnpG 2011/2012 NRW (Nordrhein-Westfalen) — Anpassung der Besoldung</w:t>
      </w:r>
    </w:p>
    <w:p>
      <w:r>
        <w:rPr>
          <w:color w:val="555555"/>
          <w:sz w:val="18"/>
        </w:rPr>
        <w:t xml:space="preserve">Besoldungs- und Versorgungsanpassungsgesetz 2011/2012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Beamtinnen und Beamten, Richterinnen und Richter werden ab 1. Januar 2012 die nachfolgenden Bezüge wie folgt erhöht:</w:t>
      </w:r>
    </w:p>
    <w:p>
      <w:r>
        <w:t xml:space="preserve">1. um 1,9 vom Hundert</w:t>
      </w:r>
    </w:p>
    <w:p>
      <w:r>
        <w:t xml:space="preserve">a) die Grundgehaltssätze der Besoldungsordnungen A, B, R und W sowie der fortgeltenden Besoldungsordnungen H und C,</w:t>
      </w:r>
    </w:p>
    <w:p>
      <w:r>
        <w:t xml:space="preserve">b) der Familienzuschlag,</w:t>
      </w:r>
    </w:p>
    <w:p>
      <w:r>
        <w:t xml:space="preserve">c) der Anrechnungsbetrag nach § 4 des Landesbesoldungsgesetzes,</w:t>
      </w:r>
    </w:p>
    <w:p>
      <w:r>
        <w:t xml:space="preserve">d) die Amtszulagen sowie die allgemeine Stellenzulage nach Vorbemerkung Nummer 27 der Bundesbesoldungsordnungen A und B des Bundesbesoldungsgesetzes in der am 31. August 2006 geltenden Fassung,</w:t>
      </w:r>
    </w:p>
    <w:p>
      <w:r>
        <w:t xml:space="preserve">e) die Anwärtergrundbeträge und die Unterhaltsbeihilfen,</w:t>
      </w:r>
    </w:p>
    <w:p>
      <w:r>
        <w:t xml:space="preserve">f) die Zuschüsse und Sonderzuschüsse nach den Vorbemerkungen Nummer 1 und Nummer 2 und die allgemeine Stellenzulage nach Vorbemerkung Nummer 2 b der weiter geltenden Besoldungsordnung C,</w:t>
      </w:r>
    </w:p>
    <w:p>
      <w:r>
        <w:t xml:space="preserve">g) die Höchstbeträge für Sondergrundgehälter und Zuschüsse zum Grundgehalt sowie festgesetzte Sondergrundgehälter und Zuschüsse der fortgeltenden Landesbesoldungsordnung H,</w:t>
      </w:r>
    </w:p>
    <w:p>
      <w:r>
        <w:t xml:space="preserve">h) die Bemessungsgrundlagen der Zulagen, Aufwandsentschädigungen und anderer Bezüge nach Artikel 14 § 5 des Reformgesetzes vom 24. Februar 1997 (BGBl. I S. 322),</w:t>
      </w:r>
    </w:p>
    <w:p>
      <w:r>
        <w:t xml:space="preserve">i) die Amtszulagen von Richterinnen und Richtern nach Anlage 2 der Verordnung zur Überleitung in die im Zweiten Gesetz zur Vereinheitlichung und Neuregelung des Besoldungsrechts in Bund und Ländern geregelten Ämter und über die künftig wegfallenden Ämter vom 1. Oktober 1975 (BGBl. I S. 2608), zuletzt geändert durch Artikel 9 des Gesetzes vom 24. März 1997 (BGBl. I S. 590),</w:t>
      </w:r>
    </w:p>
    <w:p>
      <w:r>
        <w:t xml:space="preserve">j) die Beträge nach § 4 der Mehrarbeitsvergütungsverordnung in der Fassung der Bekanntmachung vom 3. Dezember 1998 (BGBl. I S. 3494), zuletzt geändert durch Gesetz vom 9. November 2004 (BGBl. I S. 2774),</w:t>
      </w:r>
    </w:p>
    <w:p>
      <w:r>
        <w:t xml:space="preserve">k) die Beträge nach § 4 Absatz 1 Nummer 1 und § 17 der Erschwerniszulagenverordnung in der Fassung der Bekanntmachung vom 3. Dezember 1998 (BGBl. I S. 3498), zuletzt geändert durch Gesetz vom 10. September 2003 (BGBl. I S. 1798),</w:t>
      </w:r>
    </w:p>
    <w:p>
      <w:r>
        <w:t xml:space="preserve">2. um 1,62 vom Hundert der Auslandszuschlag und der Auslandskinderzuschlag,</w:t>
      </w:r>
    </w:p>
    <w:p>
      <w:r>
        <w:t xml:space="preserve">3. die nach Nummer 1 Buchstabe a erhöhten Grundgehaltssätze der Besoldungsordnungen A, B, R und W sowie der fortgeltenden Besoldungsordnungen H und C um jeweils 17 Euro und die nach Nummer 1 Buchstabe e erhöhten Anwärtergrundbeträge und Unterhaltsbeihilfen um 6 Euro.</w:t>
      </w:r>
    </w:p>
    <w:p>
      <w:r>
        <w:t xml:space="preserve">(2) Die sich bei der Berechnung der erhöhten Beträge ergebenden Bruchteile eines Cents sind hinsichtlich der Beträge des Familienzuschlags der Stufe 1 auf den nächsten durch zwei teilbaren Centbetrag aufzurunden und im Übrigen kaufmännisch zu runden.</w:t>
      </w:r>
    </w:p>
    <w:p>
      <w:r>
        <w:rPr>
          <w:color w:val="555555"/>
          <w:sz w:val="17"/>
        </w:rPr>
        <w:t xml:space="preserve">Zitiervorschlag: § 6 BesVersAnpG 2011/2012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https://recht.nulegal.eu/gesetze/nw-30284/6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BesVersAnpG 2011/2012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