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SpkG (Nordrhein-Westfalen) — Vermögenseinlagen stiller Gesellschafter, Genussrechte und nachrangige Verbindlichkeiten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Sparkasse kann zur Verbesserung ihrer haftenden Eigenmittel Vermögenseinlagen stiller Gesellschafter aufnehmen, sofern die Satzung dies vorsieht. Als stille Gesellschafter sind</w:t>
      </w:r>
    </w:p>
    <w:p>
      <w:r>
        <w:t xml:space="preserve">a) der Träger,</w:t>
      </w:r>
    </w:p>
    <w:p>
      <w:r>
        <w:t xml:space="preserve">b) die Rheinische Sparkassen-Förderungsgesellschaft mit beschränkter Haftung und</w:t>
      </w:r>
    </w:p>
    <w:p>
      <w:r>
        <w:t xml:space="preserve">c) die Westfälisch-Lippische Sparkassen-Förderungsgesellschaft mit beschränkter Haftung</w:t>
      </w:r>
    </w:p>
    <w:p>
      <w:r>
        <w:t xml:space="preserve">zugelassen. Stille Vermögenseinlagen nach Satz 2 Buchstaben b und c bedürfen der Zustimmung der Aufsichtsbehörde.</w:t>
      </w:r>
    </w:p>
    <w:p>
      <w:r>
        <w:t xml:space="preserve">(2) Sofern die Satzung es zulässt, kann die Sparkasse Genussrechte ausgeben und nachrangige Verbindlichkeiten eingehen.</w:t>
      </w:r>
    </w:p>
    <w:p>
      <w:r>
        <w:t xml:space="preserve">(3) Den stillen Gesellschaftern, den Genussrechtsgläubigern und den Gläubigern nachrangiger Verbindlichkeiten dürfen keine Mitwirkungsbefugnisse und keine Ansprüche am Liquidationsvermögen der Sparkasse eingeräumt werden.</w:t>
      </w:r>
    </w:p>
    <w:p>
      <w:r>
        <w:t xml:space="preserve">(4) Der gegenseitige oder mehrseitige Erwerb von Schuldverschreibungen, Genussrechten oder nachrangigen Verbindlichkeiten darf unter Sparkassen nicht erfolgen.</w:t>
      </w:r>
    </w:p>
    <w:p>
      <w:r>
        <w:t xml:space="preserve">IV.</w:t>
      </w:r>
    </w:p>
    <w:p>
      <w:r>
        <w:t xml:space="preserve">Zusammenlegung und Auflösung von Sparkassen</w:t>
      </w:r>
    </w:p>
    <w:p>
      <w:r>
        <w:rPr>
          <w:color w:val="555555"/>
          <w:sz w:val="17"/>
        </w:rPr>
        <w:t xml:space="preserve">Zitiervorschlag: § 26 SpkG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https://recht.nulegal.eu/gesetze/nw-29762--2008/26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SpkG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