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AGBVormVG (Nordrhein-Westfalen) — Anwendungsbereich</w:t>
      </w:r>
    </w:p>
    <w:p>
      <w:r>
        <w:rPr>
          <w:color w:val="555555"/>
          <w:sz w:val="18"/>
        </w:rPr>
        <w:t xml:space="preserve">Berufsvormünderausführungsgesetz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Maßgabe dieses Gesetzes werden Nachqualifikationen durch Umschulungen oder Fortbildungen von Berufsvormündern sowie beruflichen Betreuerinnen und Betreuer, die</w:t>
      </w:r>
    </w:p>
    <w:p>
      <w:r>
        <w:t xml:space="preserve">1. nach § 1 Absatz 2 Satz 2 des Vormünder- und Betreuervergütungsgesetzes vom 21. April 2005 (BGBl. I S. 1073), das zuletzt durch Artikel 1 des Gesetzes vom 22. Juni 2019 (BGBl. I S. 866) geändert worden ist, eine Vergütung aus der Staatskasse verlangen können und</w:t>
      </w:r>
    </w:p>
    <w:p>
      <w:r>
        <w:t xml:space="preserve">2. bereits vor dem 30. Mai 1998 Vormundschaften und Betreuungen berufsmäßig geführt haben,</w:t>
      </w:r>
    </w:p>
    <w:p>
      <w:r>
        <w:t xml:space="preserve">anerkannt.</w:t>
      </w:r>
    </w:p>
    <w:p>
      <w:r>
        <w:rPr>
          <w:color w:val="555555"/>
          <w:sz w:val="17"/>
        </w:rPr>
        <w:t xml:space="preserve">Zitiervorschlag: § 1 AGBVormVG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https://recht.nulegal.eu/gesetze/nw-28254--2002/1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