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NagProtUmsG/EUV511/2014DG — Einziehung</w:t>
      </w:r>
    </w:p>
    <w:p>
      <w:r>
        <w:rPr>
          <w:color w:val="555555"/>
          <w:sz w:val="18"/>
        </w:rPr>
        <w:t xml:space="preserve">Gesetz zur Umsetzung der Verpflichtungen nach dem Nagoya-Protokoll und zur Durchführung der Verordnung (EU) Nr. 511/2014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Ist eine Ordnungswidrigkeit nach § 4 begangen worden, so können Gegenstände, auf die sich die Ordnungswidrigkeit bezieht, eingezogen werden. § 23 des Gesetzes über Ordnungswidrigkeiten ist anzuwenden.</w:t>
      </w:r>
    </w:p>
    <w:p>
      <w:r>
        <w:rPr>
          <w:color w:val="555555"/>
          <w:sz w:val="17"/>
        </w:rPr>
        <w:t xml:space="preserve">Zitiervorschlag: § 5 NagProtUmsG/EUV511/2014DG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https://recht.nulegal.eu/gesetze/nagprotumsg_euv511_2014dg/5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