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MStDVDV — Nachteilsausgleich</w:t>
      </w:r>
    </w:p>
    <w:p>
      <w:r>
        <w:rPr>
          <w:color w:val="555555"/>
          <w:sz w:val="18"/>
        </w:rPr>
        <w:t xml:space="preserve">Verordnung über den Vorbereitungsdienst für den mittleren Steuerdienst des Bundes</w:t>
      </w:r>
    </w:p>
    <w:p>
      <w:r>
        <w:rPr>
          <w:color w:val="555555"/>
          <w:sz w:val="18"/>
        </w:rPr>
        <w:t xml:space="preserve">Historische Fassung: Stand 10.06.2019 bis 01.01.2024. Dies ist nicht die aktuelle Fassung.</w:t>
      </w:r>
    </w:p>
    <w:p>
      <w:r>
        <w:t xml:space="preserve">(1) Menschen mit Behinderung und Menschen mit einer vorübergehenden Beeinträchtigung wird auf Antrag ein angemessener Nachteilsausgleich im Auswahlverfahren sowie bei Leistungstests und bei Prüfungen gewährt. Hierauf sind die Betroffenen rechtzeitig hinzuweisen.</w:t>
      </w:r>
    </w:p>
    <w:p>
      <w:r>
        <w:t xml:space="preserve">(2) Über die Gewährung von Nachteilsausgleichen im Auswahlverfahren entscheidet das Bundeszentralamt für Steuern und in den übrigen Fällen die oberste Landesfinanzbehörde oder die von ihr bestimmte Stelle.</w:t>
      </w:r>
    </w:p>
    <w:p>
      <w:r>
        <w:t xml:space="preserve">(3) Art und Umfang des Nachteilsausgleichs sind mit den Betroffenen rechtzeitig zu erörtern. Bei schwerbehinderten und diesen gleichgestellten behinderten Menschen erfolgt auch eine Erörterung mit der Schwerbehindertenvertretung, sofern die betroffene Person dem nicht widerspricht. Der Nachteilsausgleich darf nicht dazu führen, dass die Anforderungen herabgesetzt werden. Gewährte Nachteilsausgleiche sind aktenkundig zu machen.</w:t>
      </w:r>
    </w:p>
    <w:p>
      <w:r>
        <w:rPr>
          <w:color w:val="555555"/>
          <w:sz w:val="17"/>
        </w:rPr>
        <w:t xml:space="preserve">Zitiervorschlag: § 4 MStDVDV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https://recht.nulegal.eu/gesetze/mstdvdv--2017/4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