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MStDVDV — Gesamtergebnis des Auswahlverfahrens</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(1) Die Auswahlkommission ermittelt für jede Bewerberin und jeden Bewerber das Gesamtergebnis des Auswahlverfahrens. In das Gesamtergebnis gehen das Ergebnis des schriftlichen Teils mit 60 Prozent und das Ergebnis des mündlichen Teils mit 40 Prozent ein.</w:t>
      </w:r>
    </w:p>
    <w:p>
      <w:r>
        <w:t xml:space="preserve">(2) Anhand der ermittelten Gesamtergebnisse legt die Auswahlkommission eine Rangfolge der Bewerberinnen und Bewerber fest. Sind mehrere Auswahlkommissionen eingerichtet, wird eine Rangfolge aller Bewerberinnen und Bewerber festgelegt. Die festgelegte Rangfolge ist für die Einstellung maßgebend.</w:t>
      </w:r>
    </w:p>
    <w:p>
      <w:r>
        <w:rPr>
          <w:color w:val="555555"/>
          <w:sz w:val="17"/>
        </w:rPr>
        <w:t xml:space="preserve">Zitiervorschlag: § 11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