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MStDVDV — Vorbereitungsdienst</w:t>
      </w:r>
    </w:p>
    <w:p>
      <w:r>
        <w:rPr>
          <w:color w:val="555555"/>
          <w:sz w:val="18"/>
        </w:rPr>
        <w:t xml:space="preserve">Verordnung über den Vorbereitungsdienst für den mittleren Steuerdienst des Bundes</w:t>
      </w:r>
    </w:p>
    <w:p>
      <w:r>
        <w:rPr>
          <w:color w:val="555555"/>
          <w:sz w:val="18"/>
        </w:rPr>
        <w:t xml:space="preserve">Historische Fassung: Stand 10.06.2019 bis 01.01.2024. Dies ist nicht die aktuelle Fassung.</w:t>
      </w:r>
    </w:p>
    <w:p>
      <w:r>
        <w:t xml:space="preserve">(1) Die Ausbildung nach dieser Verordnung ist der Vorbereitungsdienst für den mittleren Steuerdienst des Bundes.</w:t>
      </w:r>
    </w:p>
    <w:p>
      <w:r>
        <w:t xml:space="preserve">(2) Der Vorbereitungsdienst dauert zwei Jahre. Davon entfallen acht Monate auf eine fachtheoretische Ausbildung an einer Landesfinanzschule und 16 Monate auf eine berufspraktische Ausbildung in einem Finanzamt.</w:t>
      </w:r>
    </w:p>
    <w:p>
      <w:r>
        <w:t xml:space="preserve">(3) Über eine Verlängerung oder Verkürzung des Vorbereitungsdienstes nach § 15 oder § 16 der Bundeslaufbahnverordnung entscheidet das Bundeszentralamt für Steuern im Benehmen mit der zuständigen Landesfinanzbehörde. Die Verlängerung des Vorbereitungsdienstes kann darauf ausgerichtet werden, dass die Anwärterin oder der Anwärter zusammen mit den später eingestellten Anwärterinnen und Anwärtern die Ausbildung fortsetzen und die Laufbahnprüfung ablegen kann. Wenn Ausbildungsabschnitte ganz oder teilweise wiederholt werden, ersetzen die Rangpunkte, die bei der Wiederholung erreicht werden, die zuvor erreichten.</w:t>
      </w:r>
    </w:p>
    <w:p>
      <w:r>
        <w:rPr>
          <w:color w:val="555555"/>
          <w:sz w:val="17"/>
        </w:rPr>
        <w:t xml:space="preserve">Zitiervorschlag: § 1 MStDVDV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