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Min/TafelWV — Amtliche Anerkennung</w:t>
      </w:r>
    </w:p>
    <w:p>
      <w:r>
        <w:rPr>
          <w:color w:val="555555"/>
          <w:sz w:val="18"/>
        </w:rPr>
        <w:t xml:space="preserve">Mineral- und Tafelwasser-Verordnung</w:t>
      </w:r>
    </w:p>
    <w:p>
      <w:r>
        <w:rPr>
          <w:color w:val="555555"/>
          <w:sz w:val="18"/>
        </w:rPr>
        <w:t xml:space="preserve">Stand: 10.06.2019 (konsolidierte Textfassung, kein amtliches Inkrafttretensdatum)</w:t>
      </w:r>
    </w:p>
    <w:p>
      <w:r>
        <w:t xml:space="preserve">(1) Natürliches Mineralwasser darf gewerbsmäßig nur in den Verkehr gebracht werden, wenn es amtlich anerkannt ist. Die amtliche Anerkennung wird auf Antrag erteilt. Sie setzt voraus, daß die Anforderungen nach § 2 erfüllt sind und dies unter</w:t>
      </w:r>
    </w:p>
    <w:p>
      <w:pPr>
        <w:ind w:left="420"/>
      </w:pPr>
      <w:r>
        <w:t xml:space="preserve">1. geologischen und hydrologischen,</w:t>
      </w:r>
    </w:p>
    <w:p>
      <w:pPr>
        <w:ind w:left="420"/>
      </w:pPr>
      <w:r>
        <w:t xml:space="preserve">2. physikalischen, physikalisch-chemischen und chemischen,</w:t>
      </w:r>
    </w:p>
    <w:p>
      <w:pPr>
        <w:ind w:left="420"/>
      </w:pPr>
      <w:r>
        <w:t xml:space="preserve">3. mikrobiologischen und hygienischen sowie</w:t>
      </w:r>
    </w:p>
    <w:p>
      <w:pPr>
        <w:ind w:left="420"/>
      </w:pPr>
      <w:r>
        <w:t xml:space="preserve">4. bei Wässern mit weniger als 1.000 Milligramm gelöster Mineralstoffe oder weniger als 250 Milligramm freien Kohlendioxids in einem Liter gegebenenfalls zusätzlich unter ernährungsphysiologischen oder sonstigen</w:t>
      </w:r>
    </w:p>
    <w:p>
      <w:r>
        <w:t xml:space="preserve">Gesichtspunkten mit wissenschaftlich anerkannten Verfahren überprüft worden ist.</w:t>
      </w:r>
    </w:p>
    <w:p>
      <w:r>
        <w:t xml:space="preserve">(2) Der amtlichen Anerkennung nach Absatz 1 steht die von der zuständigen Behörde eines anderen Mitgliedstaates der Europäischen Union für ein natürliches Mineralwasser aus dem Boden dieses Mitgliedstaates oder eines Drittlandes erteilte amtliche Anerkennung und die von der zuständigen Behörde eines anderen Vertragsstaates des Abkommens über den Europäischen Wirtschaftsraum für ein natürliches Mineralwasser aus dem Boden dieses Vertragsstaates oder eines Drittlandes erteilte amtliche Anerkennung gleich.</w:t>
      </w:r>
    </w:p>
    <w:p>
      <w:r>
        <w:t xml:space="preserve">(3) Natürliche Mineralwässer aus dem Boden eines Staates, der nicht Mitgliedstaat der Europäischen Union oder anderer Vertragsstaat des Abkommens über den Europäischen Wirtschaftsraum ist, werden nach Maßgabe des Absatzes 1 amtlich anerkannt, wenn die zuständige Behörde des Staates, in dem das natürliche Mineralwasser gewonnen worden ist, bescheinigt hat, daß es den Anforderungen nach den §§ 2 und 4 entspricht und die Einhaltung der in Anlage 1 genannten Nutzungsvoraussetzungen seiner Quellen laufend kontrolliert wird; die Bescheinigung darf nicht älter als fünf Jahre sein. Sie ist vor Ablauf von fünf Jahren jeweils zu erneuern. Die Anerkennung erlischt, wenn die erneuerte Bescheinigung nicht innerhalb der Frist bei der zuständigen Behörde eingegangen ist.</w:t>
      </w:r>
    </w:p>
    <w:p>
      <w:r>
        <w:t xml:space="preserve">(4) Amtlich anerkannte Mineralwässer werden mit dem Namen der Quelle und dem Ort der Quellnutzung vom Bundesamt für Verbraucherschutz und Lebensmittelsicherheit im Bundesanzeiger bekanntgemacht.</w:t>
      </w:r>
    </w:p>
    <w:p>
      <w:r>
        <w:rPr>
          <w:color w:val="555555"/>
          <w:sz w:val="17"/>
        </w:rPr>
        <w:t xml:space="preserve">Zitiervorschlag: § 3 Min/TafelWV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https://recht.nulegal.eu/gesetze/min_tafelwv/3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Min/TafelWV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