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Min/TafelWV — Inkrafttreten, abgelöste Vorschrift</w:t>
      </w:r>
    </w:p>
    <w:p>
      <w:r>
        <w:rPr>
          <w:color w:val="555555"/>
          <w:sz w:val="18"/>
        </w:rPr>
        <w:t xml:space="preserve">Mineral- und Tafelwasser-Verordnung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21 Min/TafelWV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https://recht.nulegal.eu/gesetze/min_tafelwv/21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