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Min/TafelWV — Trinkwasser</w:t>
      </w:r>
    </w:p>
    <w:p>
      <w:r>
        <w:rPr>
          <w:color w:val="555555"/>
          <w:sz w:val="18"/>
        </w:rPr>
        <w:t xml:space="preserve">Mineral- und Tafelwasser-Verordnung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Trinkwasser, das nicht die Anforderungen des § 2 oder des § 10 erfüllt und in zur Abgabe an den Verbraucher bestimmten Fertigpackungen in den Verkehr gebracht wird, gilt § 15 entsprechend.</w:t>
      </w:r>
    </w:p>
    <w:p>
      <w:r>
        <w:rPr>
          <w:color w:val="555555"/>
          <w:sz w:val="17"/>
        </w:rPr>
        <w:t xml:space="preserve">Zitiervorschlag: § 18 Min/TafelWV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https://recht.nulegal.eu/gesetze/min_tafelwv/18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