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MetallbMstrV</w:t>
      </w:r>
    </w:p>
    <w:p>
      <w:r>
        <w:rPr>
          <w:color w:val="555555"/>
          <w:sz w:val="18"/>
        </w:rPr>
        <w:t xml:space="preserve">Metallbauermeisterverordnung</w:t>
      </w:r>
    </w:p>
    <w:p>
      <w:r>
        <w:rPr>
          <w:color w:val="555555"/>
          <w:sz w:val="18"/>
        </w:rPr>
        <w:t xml:space="preserve">Historische Fassung: Stand 10.06.2019 bis 01.07.2025. Dies ist nicht die aktuelle Fassung.</w:t>
      </w:r>
    </w:p>
    <w:p>
      <w:r>
        <w:t xml:space="preserve">Auf Grund des § 45 der Handwerksordnung in der Fassung der Bekanntmachung vom 24. September 1998 (BGBl. I S. 3074), der durch Artikel 135 Nr. 3 der Verordnung vom 29. Oktober 2001 (BGBl. I S. 2785)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MetallbMstrV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https://recht.nulegal.eu/gesetze/metallbmstrv--2002/eingangsformel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