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MetallbMstrV — Gliederung und Inhalt der Meisterprüfung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(1) Die Meisterprüfung im Metallbauer-Handwerk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t xml:space="preserve">(2) Für die Meisterprüfung in Teil I im Metallbauer-Handwerk werden die Schwerpunkte Konstruktionstechnik, Metallgestaltung und Nutzfahrzeugbau gebildet; der Prüfling hat einen dieser Schwerpunkte auszuwählen.</w:t>
      </w:r>
    </w:p>
    <w:p>
      <w:r>
        <w:rPr>
          <w:color w:val="555555"/>
          <w:sz w:val="17"/>
        </w:rPr>
        <w:t xml:space="preserve">Zitiervorschlag: § 1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