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Met/GlockAusbV — Zwischenprüfung</w:t>
      </w:r>
    </w:p>
    <w:p>
      <w:r>
        <w:rPr>
          <w:color w:val="555555"/>
          <w:sz w:val="18"/>
        </w:rPr>
        <w:t xml:space="preserve">Verordnung über die Berufsausbildung zum Metall- und Glockengießer/zur Metall- und Glockengießerin</w:t>
      </w:r>
    </w:p>
    <w:p>
      <w:r>
        <w:rPr>
          <w:color w:val="555555"/>
          <w:sz w:val="18"/>
        </w:rPr>
        <w:t xml:space="preserve">Stand: 10.06.2019 (konsolidierte Textfassung, kein amtliches Inkrafttretensdatum)</w:t>
      </w:r>
    </w:p>
    <w:p>
      <w:r>
        <w:t xml:space="preserve">(1) Zur Ermittlung des Ausbildungsstandes ist eine Zwischenprüfung durchzuführen. Sie soll in der Mitte des zweiten Ausbildungsjahres stattfinden.</w:t>
      </w:r>
    </w:p>
    <w:p>
      <w:r>
        <w:t xml:space="preserve">(2) Die Zwischenprüfung erstreckt sich auf die in der Anlage für das erste Ausbildungsjahr aufgeführten Fertigkeiten und Kenntnisse sowie auf den im Berufsschulunterricht entsprechend den Rahmenlehrplänen zu vermittelnden Lehrstoff, soweit er für die Berufsausbildung wesentlich ist.</w:t>
      </w:r>
    </w:p>
    <w:p>
      <w:r>
        <w:t xml:space="preserve">(3) Der Prüfling soll im praktischen Teil der Prüfung in insgesamt höchstens sieben Stunden eine Arbeitsaufgabe durchführen. Hierfür kommt insbesondere das Bearbeiten eines Werkstücks aus Metall nach Modell oder Zeichnung mit manuellen und maschinellen Verfahren, einschließlich Planen und Vorbereiten des Arbeitsablaufes sowie Kontrollieren der Arbeitsergebnisse, in Betracht.</w:t>
      </w:r>
    </w:p>
    <w:p>
      <w:r>
        <w:t xml:space="preserve">(4) Der Prüfling soll im schriftlichen Teil der Prüfung in insgesamt höchstens 180 Minuten Aufgaben, die sich auf praxisbezogene Fälle beziehen sollen, insbesondere aus folgenden Gebieten lösen:</w:t>
      </w:r>
    </w:p>
    <w:p>
      <w:pPr>
        <w:ind w:left="420"/>
      </w:pPr>
      <w:r>
        <w:t xml:space="preserve">1. Arbeitsplanung,</w:t>
      </w:r>
    </w:p>
    <w:p>
      <w:pPr>
        <w:ind w:left="420"/>
      </w:pPr>
      <w:r>
        <w:t xml:space="preserve">2. Werk- und Hilfsstoffe,</w:t>
      </w:r>
    </w:p>
    <w:p>
      <w:pPr>
        <w:ind w:left="420"/>
      </w:pPr>
      <w:r>
        <w:t xml:space="preserve">3. Werkstoffbearbeitungsverfahren,</w:t>
      </w:r>
    </w:p>
    <w:p>
      <w:pPr>
        <w:ind w:left="420"/>
      </w:pPr>
      <w:r>
        <w:t xml:space="preserve">4. Skizzieren und Zeichnen,</w:t>
      </w:r>
    </w:p>
    <w:p>
      <w:pPr>
        <w:ind w:left="420"/>
      </w:pPr>
      <w:r>
        <w:t xml:space="preserve">5. Sicherheit und Gesundheitsschutz bei der Arbeit, Umweltschutz.</w:t>
      </w:r>
    </w:p>
    <w:p>
      <w:r>
        <w:rPr>
          <w:color w:val="555555"/>
          <w:sz w:val="17"/>
        </w:rPr>
        <w:t xml:space="preserve">Zitiervorschlag: § 7 Met/GlockAusbV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https://recht.nulegal.eu/gesetze/met_glockausbv/7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