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Met/GlockAusbV — Ausbildungsdauer, Fachrichtungen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 Für das dritte Ausbildungsjahr kann zwischen den Fachrichtungen</w:t>
      </w:r>
    </w:p>
    <w:p>
      <w:pPr>
        <w:ind w:left="420"/>
      </w:pPr>
      <w:r>
        <w:t xml:space="preserve">1. Zinngußtechnik,</w:t>
      </w:r>
    </w:p>
    <w:p>
      <w:pPr>
        <w:ind w:left="420"/>
      </w:pPr>
      <w:r>
        <w:t xml:space="preserve">2. Kunst- und Glockengußtechnik,</w:t>
      </w:r>
    </w:p>
    <w:p>
      <w:pPr>
        <w:ind w:left="420"/>
      </w:pPr>
      <w:r>
        <w:t xml:space="preserve">3. Metallgußtechnik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