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Met/GlockAusbV — Inkrafttreten</w:t>
      </w:r>
    </w:p>
    <w:p>
      <w:r>
        <w:rPr>
          <w:color w:val="555555"/>
          <w:sz w:val="18"/>
        </w:rPr>
        <w:t xml:space="preserve">Verordnung über die Berufsausbildung zum Metall- und Glockengießer/zur Metall- und Glockengießerin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1998 in Kraft.</w:t>
      </w:r>
    </w:p>
    <w:p>
      <w:r>
        <w:rPr>
          <w:color w:val="555555"/>
          <w:sz w:val="17"/>
        </w:rPr>
        <w:t xml:space="preserve">Zitiervorschlag: § 13 Met/GlockAusbV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https://recht.nulegal.eu/gesetze/met_glockausbv/13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